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DB5C0" w14:textId="657B543F" w:rsidR="00E964C3" w:rsidRPr="00E964C3" w:rsidRDefault="00E964C3" w:rsidP="00E964C3">
      <w:pPr>
        <w:pStyle w:val="Epgrafe"/>
      </w:pPr>
      <w:r>
        <w:t>LEI</w:t>
      </w:r>
      <w:r w:rsidRPr="00E964C3">
        <w:t xml:space="preserve"> Nº 7.661,</w:t>
      </w:r>
      <w:r>
        <w:t xml:space="preserve"> DE </w:t>
      </w:r>
      <w:r w:rsidRPr="00E964C3">
        <w:t>7 DE ABRIL DE 2025</w:t>
      </w:r>
    </w:p>
    <w:p w14:paraId="64925F77" w14:textId="77777777" w:rsidR="00E964C3" w:rsidRPr="00E964C3" w:rsidRDefault="00E964C3" w:rsidP="00E964C3">
      <w:pPr>
        <w:jc w:val="center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(Autoria: Poder Executivo)</w:t>
      </w:r>
    </w:p>
    <w:p w14:paraId="277B6382" w14:textId="5218636E" w:rsidR="00E964C3" w:rsidRPr="00E964C3" w:rsidRDefault="00E964C3" w:rsidP="00E964C3">
      <w:pPr>
        <w:pStyle w:val="Ementa0"/>
      </w:pPr>
      <w:r>
        <w:t xml:space="preserve">Dispõe </w:t>
      </w:r>
      <w:r w:rsidRPr="00E964C3">
        <w:t xml:space="preserve">sobre a desafetação de área pública, caracterizada como Unidade Especial – </w:t>
      </w:r>
      <w:r>
        <w:t xml:space="preserve">EU </w:t>
      </w:r>
      <w:r w:rsidRPr="00E964C3">
        <w:t>13, e autoriza o Poder Executivo a proceder à reversão dos lotes do Distrito Federal</w:t>
      </w:r>
      <w:r>
        <w:t xml:space="preserve"> </w:t>
      </w:r>
      <w:r w:rsidRPr="00E964C3">
        <w:t>que especifica, para a Terracap, na Região Administrativa do Guará – RA X.</w:t>
      </w:r>
    </w:p>
    <w:p w14:paraId="6F920A1D" w14:textId="77777777" w:rsid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O GOVERNADOR DO DISTRITO FEDERAL,</w:t>
      </w:r>
    </w:p>
    <w:p w14:paraId="271B4E91" w14:textId="310C7DD8" w:rsidR="00E964C3" w:rsidRPr="00E964C3" w:rsidRDefault="00E964C3" w:rsidP="00E964C3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 xml:space="preserve">Faço saber que a </w:t>
      </w:r>
      <w:r>
        <w:rPr>
          <w:rFonts w:ascii="Tahoma" w:hAnsi="Tahoma" w:cs="Tahoma"/>
          <w:sz w:val="24"/>
          <w:szCs w:val="24"/>
        </w:rPr>
        <w:t>C</w:t>
      </w:r>
      <w:r w:rsidRPr="00E964C3">
        <w:rPr>
          <w:rFonts w:ascii="Tahoma" w:hAnsi="Tahoma" w:cs="Tahoma"/>
          <w:sz w:val="24"/>
          <w:szCs w:val="24"/>
        </w:rPr>
        <w:t>âmara</w:t>
      </w:r>
      <w:r>
        <w:rPr>
          <w:rFonts w:ascii="Tahoma" w:hAnsi="Tahoma" w:cs="Tahoma"/>
          <w:sz w:val="24"/>
          <w:szCs w:val="24"/>
        </w:rPr>
        <w:t xml:space="preserve"> L</w:t>
      </w:r>
      <w:r w:rsidRPr="00E964C3">
        <w:rPr>
          <w:rFonts w:ascii="Tahoma" w:hAnsi="Tahoma" w:cs="Tahoma"/>
          <w:sz w:val="24"/>
          <w:szCs w:val="24"/>
        </w:rPr>
        <w:t xml:space="preserve">egislativa do </w:t>
      </w:r>
      <w:r>
        <w:rPr>
          <w:rFonts w:ascii="Tahoma" w:hAnsi="Tahoma" w:cs="Tahoma"/>
          <w:sz w:val="24"/>
          <w:szCs w:val="24"/>
        </w:rPr>
        <w:t>D</w:t>
      </w:r>
      <w:r w:rsidRPr="00E964C3">
        <w:rPr>
          <w:rFonts w:ascii="Tahoma" w:hAnsi="Tahoma" w:cs="Tahoma"/>
          <w:sz w:val="24"/>
          <w:szCs w:val="24"/>
        </w:rPr>
        <w:t xml:space="preserve">istrito </w:t>
      </w:r>
      <w:r>
        <w:rPr>
          <w:rFonts w:ascii="Tahoma" w:hAnsi="Tahoma" w:cs="Tahoma"/>
          <w:sz w:val="24"/>
          <w:szCs w:val="24"/>
        </w:rPr>
        <w:t>F</w:t>
      </w:r>
      <w:r w:rsidRPr="00E964C3">
        <w:rPr>
          <w:rFonts w:ascii="Tahoma" w:hAnsi="Tahoma" w:cs="Tahoma"/>
          <w:sz w:val="24"/>
          <w:szCs w:val="24"/>
        </w:rPr>
        <w:t xml:space="preserve">ederal </w:t>
      </w:r>
      <w:r>
        <w:rPr>
          <w:rFonts w:ascii="Tahoma" w:hAnsi="Tahoma" w:cs="Tahoma"/>
          <w:sz w:val="24"/>
          <w:szCs w:val="24"/>
        </w:rPr>
        <w:t>decreta</w:t>
      </w:r>
      <w:r w:rsidRPr="00E964C3">
        <w:rPr>
          <w:rFonts w:ascii="Tahoma" w:hAnsi="Tahoma" w:cs="Tahoma"/>
          <w:sz w:val="24"/>
          <w:szCs w:val="24"/>
        </w:rPr>
        <w:t xml:space="preserve"> e eu sanciono a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 xml:space="preserve">seguinte </w:t>
      </w:r>
      <w:r>
        <w:rPr>
          <w:rFonts w:ascii="Tahoma" w:hAnsi="Tahoma" w:cs="Tahoma"/>
          <w:sz w:val="24"/>
          <w:szCs w:val="24"/>
        </w:rPr>
        <w:t>L</w:t>
      </w:r>
      <w:r w:rsidRPr="00E964C3">
        <w:rPr>
          <w:rFonts w:ascii="Tahoma" w:hAnsi="Tahoma" w:cs="Tahoma"/>
          <w:sz w:val="24"/>
          <w:szCs w:val="24"/>
        </w:rPr>
        <w:t>ei:</w:t>
      </w:r>
    </w:p>
    <w:p w14:paraId="26474BCB" w14:textId="7D8BEFE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t>Art. 1º</w:t>
      </w:r>
      <w:r w:rsidRPr="00E964C3">
        <w:rPr>
          <w:rFonts w:ascii="Tahoma" w:hAnsi="Tahoma" w:cs="Tahoma"/>
          <w:sz w:val="24"/>
          <w:szCs w:val="24"/>
        </w:rPr>
        <w:t xml:space="preserve"> Ficam desafetadas, com o objetivo de implementar o Plano de Ocupação – POC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para o Centro Administrativo Vivencial e Esporte – Cave:</w:t>
      </w:r>
    </w:p>
    <w:p w14:paraId="044455E8" w14:textId="01103EEA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 xml:space="preserve">I – as áreas de bem público de uso especial, para a criação de </w:t>
      </w:r>
      <w:proofErr w:type="gramStart"/>
      <w:r w:rsidRPr="00E964C3">
        <w:rPr>
          <w:rFonts w:ascii="Tahoma" w:hAnsi="Tahoma" w:cs="Tahoma"/>
          <w:sz w:val="24"/>
          <w:szCs w:val="24"/>
        </w:rPr>
        <w:t>3</w:t>
      </w:r>
      <w:proofErr w:type="gramEnd"/>
      <w:r w:rsidRPr="00E964C3">
        <w:rPr>
          <w:rFonts w:ascii="Tahoma" w:hAnsi="Tahoma" w:cs="Tahoma"/>
          <w:sz w:val="24"/>
          <w:szCs w:val="24"/>
        </w:rPr>
        <w:t xml:space="preserve"> lotes com uso do solo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Institucional – INST, totalizando 11.078,99 m² com autorização para sua alienação, em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que devem constar os seguintes endereços quando do parcelamento do solo a ser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aprovado nos termos da Lei Complementar nº 1.027, de 28 de novembro de 2023:</w:t>
      </w:r>
    </w:p>
    <w:p w14:paraId="4CA05BE7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a) SRIA II QE 25 CJ 2 AE 5, com dimensão de 7.170,54 m²;</w:t>
      </w:r>
    </w:p>
    <w:p w14:paraId="3EF296B8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b) SRIA II QE 25 CJ 2 AE 7, com dimensão de 1.466,24 m²;</w:t>
      </w:r>
    </w:p>
    <w:p w14:paraId="7B8CD699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c) SRIA II QE 25 CJ 2 AE 8, com dimensão de 2.442,21 m²;</w:t>
      </w:r>
    </w:p>
    <w:p w14:paraId="729628BA" w14:textId="301694AE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 xml:space="preserve">II – a área de 3.704,84 m², classificada como bem de uso especial, </w:t>
      </w:r>
      <w:proofErr w:type="gramStart"/>
      <w:r w:rsidRPr="00E964C3">
        <w:rPr>
          <w:rFonts w:ascii="Tahoma" w:hAnsi="Tahoma" w:cs="Tahoma"/>
          <w:sz w:val="24"/>
          <w:szCs w:val="24"/>
        </w:rPr>
        <w:t>que</w:t>
      </w:r>
      <w:proofErr w:type="gramEnd"/>
      <w:r w:rsidRPr="00E964C3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964C3">
        <w:rPr>
          <w:rFonts w:ascii="Tahoma" w:hAnsi="Tahoma" w:cs="Tahoma"/>
          <w:sz w:val="24"/>
          <w:szCs w:val="24"/>
        </w:rPr>
        <w:t>passa</w:t>
      </w:r>
      <w:proofErr w:type="gramEnd"/>
      <w:r w:rsidRPr="00E964C3">
        <w:rPr>
          <w:rFonts w:ascii="Tahoma" w:hAnsi="Tahoma" w:cs="Tahoma"/>
          <w:sz w:val="24"/>
          <w:szCs w:val="24"/>
        </w:rPr>
        <w:t xml:space="preserve"> a ser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destinada a parcelamento futuro;</w:t>
      </w:r>
    </w:p>
    <w:p w14:paraId="51AFA1B6" w14:textId="13EFFD39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III – as áreas constantes do Anexo Único desta Lei, cujo croqui indica as áreas que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extrapolam a poligonal atual do lote registrado em cartório com endereço no SRIA II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QE 25 AE 1 CAVE, totalizando 7.311,23 m², as quais devem ser incorporadas ao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mesmo lote como bem público de uso especial, mantendo a afetação nos lotes criados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após o reparcelamento do solo a ser aprovado nos termos da Lei Complementar nº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1.027, de 2023.</w:t>
      </w:r>
    </w:p>
    <w:p w14:paraId="022C490C" w14:textId="5531F1CD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i/>
          <w:sz w:val="24"/>
          <w:szCs w:val="24"/>
        </w:rPr>
        <w:t>Parágrafo único.</w:t>
      </w:r>
      <w:r w:rsidRPr="00E964C3">
        <w:rPr>
          <w:rFonts w:ascii="Tahoma" w:hAnsi="Tahoma" w:cs="Tahoma"/>
          <w:sz w:val="24"/>
          <w:szCs w:val="24"/>
        </w:rPr>
        <w:t xml:space="preserve"> Os lotes discriminados no art. 1º, I, devem ter, quando compatibilizados nos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termos da Lei Complementar nº 948, de 16 de janeiro de 2019 – Lei de Uso e Ocupação do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Solo, art. 99, combinada com a Lei Complementar nº 1.027, de 2023, art.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63, § 6º, seus parâmetros de ocupação do solo definidos conforme faixas de área a serem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incorporadas no Anexo III – Quadro 9A – Parâmetros de Ocupação do Solo/Guará, da Lei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de Uso e Ocupação do Solo com a UOS INST-CAVE.</w:t>
      </w:r>
    </w:p>
    <w:p w14:paraId="10916C7A" w14:textId="406B60B3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t>Art. 2º</w:t>
      </w:r>
      <w:r w:rsidRPr="00E964C3">
        <w:rPr>
          <w:rFonts w:ascii="Tahoma" w:hAnsi="Tahoma" w:cs="Tahoma"/>
          <w:sz w:val="24"/>
          <w:szCs w:val="24"/>
        </w:rPr>
        <w:t xml:space="preserve"> O órgão gestor do desenvolvimento territorial e urbano do Distrito Federal é o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responsável pela elaboração do Projeto de Urbanismo – URB e respectivo Memorial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Descritivo – MDE, com a definição de sistema viário, espaços livres de uso público e a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 xml:space="preserve">criação dos seguintes lotes no reparcelamento do solo a ser aprovado nos </w:t>
      </w:r>
      <w:r w:rsidRPr="00E964C3">
        <w:rPr>
          <w:rFonts w:ascii="Tahoma" w:hAnsi="Tahoma" w:cs="Tahoma"/>
          <w:sz w:val="24"/>
          <w:szCs w:val="24"/>
        </w:rPr>
        <w:lastRenderedPageBreak/>
        <w:t>termos da Lei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Complementar nº 1.027, de 2023, com o uso do solo Institucional Equipamento Público –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4C3">
        <w:rPr>
          <w:rFonts w:ascii="Tahoma" w:hAnsi="Tahoma" w:cs="Tahoma"/>
          <w:sz w:val="24"/>
          <w:szCs w:val="24"/>
        </w:rPr>
        <w:t>Inst</w:t>
      </w:r>
      <w:proofErr w:type="spellEnd"/>
      <w:r w:rsidRPr="00E964C3">
        <w:rPr>
          <w:rFonts w:ascii="Tahoma" w:hAnsi="Tahoma" w:cs="Tahoma"/>
          <w:sz w:val="24"/>
          <w:szCs w:val="24"/>
        </w:rPr>
        <w:t xml:space="preserve"> EP:</w:t>
      </w:r>
    </w:p>
    <w:p w14:paraId="35FB30AE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I – SRIA II QE 25 CJ 1 AE 1, com dimensão de 14.973,49 m²;</w:t>
      </w:r>
    </w:p>
    <w:p w14:paraId="00874B12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II – SRIA II QE 25 CJ 1 AE 2, com dimensão de 308,49 m²;</w:t>
      </w:r>
    </w:p>
    <w:p w14:paraId="6157AC6E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III – SRIA II QE 25 CJ 1 AE 3, com dimensão de 8.684,17 m²;</w:t>
      </w:r>
    </w:p>
    <w:p w14:paraId="7B7EEF52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IV – SRIA II QE 25 CJ 1 AE 4, com dimensão de 5.143,92 m²;</w:t>
      </w:r>
    </w:p>
    <w:p w14:paraId="4FB00FA7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V – SRIA II QE 25 CJ 1 AE 5, com dimensão de 5.848,44 m²;</w:t>
      </w:r>
    </w:p>
    <w:p w14:paraId="3055650B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VI – SRIA II QE 25 CJ 1 AE 6, com dimensão de 10.224,62 m²;</w:t>
      </w:r>
    </w:p>
    <w:p w14:paraId="571215A3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VII – SRIA II QE 25 CJ 2 AE 1, com dimensão de 5.264,29 m²;</w:t>
      </w:r>
    </w:p>
    <w:p w14:paraId="6BD4E25B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VIII – SRIA II QE 25 CJ 2 AE 2, com dimensão de 7.641,05 m²;</w:t>
      </w:r>
    </w:p>
    <w:p w14:paraId="60FCBC96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IX – SRIA II QE 25 CJ 2 AE 3, com dimensão de 12.311,80 m²;</w:t>
      </w:r>
    </w:p>
    <w:p w14:paraId="5ADBA653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X – SRIA II QE 25 CJ 2 AE 4, com dimensão de 3.394,11 m²;</w:t>
      </w:r>
    </w:p>
    <w:p w14:paraId="3788A435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XI – SRIA II, QE 25 CJ 2 AE 6, com dimensão de 1.788,75 m²;</w:t>
      </w:r>
    </w:p>
    <w:p w14:paraId="101047DE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XII – SRIA II QE 25 CJ 3 AE 1, com dimensão de 16.340,15 m²;</w:t>
      </w:r>
    </w:p>
    <w:p w14:paraId="5BA1D57B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XIII – SRIA II QE 25 CJ 3 AE 2, com dimensão de 14.963,04 m²;</w:t>
      </w:r>
    </w:p>
    <w:p w14:paraId="6A87B49C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XIV – SRIA II QE 25 CJ 3 AE 3, com dimensão de 11.707,51 m²;</w:t>
      </w:r>
    </w:p>
    <w:p w14:paraId="7328B835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XV – SRIA II QE 25 CJ 3 AE 4, com dimensão de 34.177,02 m²;</w:t>
      </w:r>
    </w:p>
    <w:p w14:paraId="7C2FCCE6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XVI – SRIA II QE 25 CJ 3 AE 5, com dimensão de 24.443,26 m²;</w:t>
      </w:r>
    </w:p>
    <w:p w14:paraId="50D4994D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XVII – SRIA II QE 25 CJ 3 AE 6, com dimensão de 64.613,19 m².</w:t>
      </w:r>
    </w:p>
    <w:p w14:paraId="25EE45FA" w14:textId="580E5E25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t>Art. 3º</w:t>
      </w:r>
      <w:r w:rsidRPr="00E964C3">
        <w:rPr>
          <w:rFonts w:ascii="Tahoma" w:hAnsi="Tahoma" w:cs="Tahoma"/>
          <w:sz w:val="24"/>
          <w:szCs w:val="24"/>
        </w:rPr>
        <w:t xml:space="preserve"> As demais áreas do Cave devem ser destinadas ao sistema viário e a espaços livres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de uso público, sendo classificadas como bem público de uso comum do povo.</w:t>
      </w:r>
    </w:p>
    <w:p w14:paraId="1C5E8F97" w14:textId="0DCB0B50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t>Art. 4º</w:t>
      </w:r>
      <w:r w:rsidRPr="00E964C3">
        <w:rPr>
          <w:rFonts w:ascii="Tahoma" w:hAnsi="Tahoma" w:cs="Tahoma"/>
          <w:sz w:val="24"/>
          <w:szCs w:val="24"/>
        </w:rPr>
        <w:t xml:space="preserve"> Os parâmetros de ocupação dos lotes destinados a UOS </w:t>
      </w:r>
      <w:proofErr w:type="spellStart"/>
      <w:r w:rsidRPr="00E964C3">
        <w:rPr>
          <w:rFonts w:ascii="Tahoma" w:hAnsi="Tahoma" w:cs="Tahoma"/>
          <w:sz w:val="24"/>
          <w:szCs w:val="24"/>
        </w:rPr>
        <w:t>Inst-EP</w:t>
      </w:r>
      <w:proofErr w:type="spellEnd"/>
      <w:r w:rsidRPr="00E964C3">
        <w:rPr>
          <w:rFonts w:ascii="Tahoma" w:hAnsi="Tahoma" w:cs="Tahoma"/>
          <w:sz w:val="24"/>
          <w:szCs w:val="24"/>
        </w:rPr>
        <w:t xml:space="preserve"> encontram-se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definidos na Lei Complementar nº 948, de 2019, art. 11.</w:t>
      </w:r>
    </w:p>
    <w:p w14:paraId="3595E6C9" w14:textId="0E53CC5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t>Art. 5º</w:t>
      </w:r>
      <w:r w:rsidRPr="00E964C3">
        <w:rPr>
          <w:rFonts w:ascii="Tahoma" w:hAnsi="Tahoma" w:cs="Tahoma"/>
          <w:sz w:val="24"/>
          <w:szCs w:val="24"/>
        </w:rPr>
        <w:t xml:space="preserve"> A localização das áreas descritas nesta Lei estão representadas de forma indicativa,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ficando autorizada a delimitação, criação ou ajustes dos lotes, com aprovação por ato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próprio do Poder Executivo.</w:t>
      </w:r>
    </w:p>
    <w:p w14:paraId="49F41972" w14:textId="02660121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i/>
          <w:sz w:val="24"/>
          <w:szCs w:val="24"/>
        </w:rPr>
        <w:t>Parágrafo único.</w:t>
      </w:r>
      <w:r w:rsidRPr="00E964C3">
        <w:rPr>
          <w:rFonts w:ascii="Tahoma" w:hAnsi="Tahoma" w:cs="Tahoma"/>
          <w:sz w:val="24"/>
          <w:szCs w:val="24"/>
        </w:rPr>
        <w:t xml:space="preserve"> As áreas citadas no </w:t>
      </w:r>
      <w:r w:rsidRPr="00E964C3">
        <w:rPr>
          <w:rFonts w:ascii="Tahoma" w:hAnsi="Tahoma" w:cs="Tahoma"/>
          <w:i/>
          <w:sz w:val="24"/>
          <w:szCs w:val="24"/>
        </w:rPr>
        <w:t>caput</w:t>
      </w:r>
      <w:r w:rsidRPr="00E964C3">
        <w:rPr>
          <w:rFonts w:ascii="Tahoma" w:hAnsi="Tahoma" w:cs="Tahoma"/>
          <w:sz w:val="24"/>
          <w:szCs w:val="24"/>
        </w:rPr>
        <w:t>, após aprovação do parcelamento, podem sofrer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pequenas alterações para diminuição, ampliação ou deslocamento do lote, quando haja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necessidade de ajuste decorrente de levantamento topográfico ou interferência com redes de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infraestrutura implantadas que inviabilizem a implantação ou regularização dos lotes ou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projeções, nos termos da Lei Complementar nº 1.027, de 2023, Título V, e sua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regulamentação.</w:t>
      </w:r>
    </w:p>
    <w:p w14:paraId="57A09FD9" w14:textId="1A6B2370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t>Art. 6º</w:t>
      </w:r>
      <w:r w:rsidRPr="00E964C3">
        <w:rPr>
          <w:rFonts w:ascii="Tahoma" w:hAnsi="Tahoma" w:cs="Tahoma"/>
          <w:sz w:val="24"/>
          <w:szCs w:val="24"/>
        </w:rPr>
        <w:t xml:space="preserve"> Os demais parâmetros de ocupação do solo estão estabelecidos na Lei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Complementar nº 948, de 2019.</w:t>
      </w:r>
    </w:p>
    <w:p w14:paraId="482136F3" w14:textId="4965E116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lastRenderedPageBreak/>
        <w:t>Art. 7º</w:t>
      </w:r>
      <w:r w:rsidRPr="00E964C3">
        <w:rPr>
          <w:rFonts w:ascii="Tahoma" w:hAnsi="Tahoma" w:cs="Tahoma"/>
          <w:sz w:val="24"/>
          <w:szCs w:val="24"/>
        </w:rPr>
        <w:t xml:space="preserve"> Fica autorizada a reversão dos lotes do Distrito Federal para a Terracap:</w:t>
      </w:r>
    </w:p>
    <w:p w14:paraId="3D45F06E" w14:textId="77777777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I – elencados no art. 1º, I, e art. 2º, IV e VI, para fins de alienação;</w:t>
      </w:r>
    </w:p>
    <w:p w14:paraId="1A8E3D8C" w14:textId="48C99296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sz w:val="24"/>
          <w:szCs w:val="24"/>
        </w:rPr>
        <w:t>II – os demais lotes, não elencados no inciso I deste artigo, para fins de concessão de direito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real de uso onerosa.</w:t>
      </w:r>
    </w:p>
    <w:p w14:paraId="591CAAAB" w14:textId="0A7AEFE3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t>Art. 8º</w:t>
      </w:r>
      <w:r w:rsidRPr="00E964C3">
        <w:rPr>
          <w:rFonts w:ascii="Tahoma" w:hAnsi="Tahoma" w:cs="Tahoma"/>
          <w:sz w:val="24"/>
          <w:szCs w:val="24"/>
        </w:rPr>
        <w:t xml:space="preserve"> As alterações aprovadas no reparcelam</w:t>
      </w:r>
      <w:bookmarkStart w:id="0" w:name="_GoBack"/>
      <w:bookmarkEnd w:id="0"/>
      <w:r w:rsidRPr="00E964C3">
        <w:rPr>
          <w:rFonts w:ascii="Tahoma" w:hAnsi="Tahoma" w:cs="Tahoma"/>
          <w:sz w:val="24"/>
          <w:szCs w:val="24"/>
        </w:rPr>
        <w:t>ento do solo de que trata esta Lei devem ser</w:t>
      </w:r>
      <w:r>
        <w:rPr>
          <w:rFonts w:ascii="Tahoma" w:hAnsi="Tahoma" w:cs="Tahoma"/>
          <w:sz w:val="24"/>
          <w:szCs w:val="24"/>
        </w:rPr>
        <w:t xml:space="preserve"> </w:t>
      </w:r>
      <w:r w:rsidRPr="00E964C3">
        <w:rPr>
          <w:rFonts w:ascii="Tahoma" w:hAnsi="Tahoma" w:cs="Tahoma"/>
          <w:sz w:val="24"/>
          <w:szCs w:val="24"/>
        </w:rPr>
        <w:t>incorporadas à LUOS, nos termos da Lei Complementar nº 948, de 2019, art. 99.</w:t>
      </w:r>
    </w:p>
    <w:p w14:paraId="3BCC3DE9" w14:textId="3612EAD4" w:rsidR="00E964C3" w:rsidRPr="00E964C3" w:rsidRDefault="00E964C3" w:rsidP="00E964C3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E964C3">
        <w:rPr>
          <w:rFonts w:ascii="Tahoma" w:hAnsi="Tahoma" w:cs="Tahoma"/>
          <w:b/>
          <w:sz w:val="24"/>
          <w:szCs w:val="24"/>
        </w:rPr>
        <w:t>Art. 9º</w:t>
      </w:r>
      <w:r w:rsidRPr="00E964C3">
        <w:rPr>
          <w:rFonts w:ascii="Tahoma" w:hAnsi="Tahoma" w:cs="Tahoma"/>
          <w:sz w:val="24"/>
          <w:szCs w:val="24"/>
        </w:rPr>
        <w:t xml:space="preserve"> Esta Lei entra em vigor na data de sua publicação.</w:t>
      </w:r>
    </w:p>
    <w:p w14:paraId="256FDAAE" w14:textId="1CEE3229" w:rsidR="00E964C3" w:rsidRPr="00E964C3" w:rsidRDefault="00E964C3" w:rsidP="00E964C3">
      <w:pPr>
        <w:spacing w:before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Brasília, </w:t>
      </w:r>
      <w:r w:rsidRPr="00E964C3">
        <w:rPr>
          <w:rFonts w:ascii="Tahoma" w:hAnsi="Tahoma" w:cs="Tahoma"/>
          <w:sz w:val="24"/>
          <w:szCs w:val="24"/>
        </w:rPr>
        <w:t>7 de abril de 2025</w:t>
      </w:r>
    </w:p>
    <w:p w14:paraId="4F25002E" w14:textId="0D29EF11" w:rsidR="00E964C3" w:rsidRPr="00E964C3" w:rsidRDefault="00E964C3" w:rsidP="00E964C3">
      <w:pPr>
        <w:pStyle w:val="Data1"/>
      </w:pPr>
      <w:r w:rsidRPr="00E964C3">
        <w:t xml:space="preserve">136º da </w:t>
      </w:r>
      <w:r>
        <w:t>República</w:t>
      </w:r>
      <w:r w:rsidRPr="00E964C3">
        <w:t xml:space="preserve"> e 65º de Brasília</w:t>
      </w:r>
    </w:p>
    <w:p w14:paraId="7D01625F" w14:textId="247CF153" w:rsidR="005C40AD" w:rsidRPr="005C40AD" w:rsidRDefault="00E964C3" w:rsidP="00E964C3">
      <w:pPr>
        <w:pStyle w:val="Epgrafe"/>
      </w:pPr>
      <w:r>
        <w:t>IBANEIS ROCHA</w:t>
      </w:r>
    </w:p>
    <w:p w14:paraId="3927DD9C" w14:textId="5F8EDE09" w:rsidR="000D7898" w:rsidRDefault="000D7898" w:rsidP="000D7898">
      <w:pPr>
        <w:spacing w:before="120"/>
        <w:jc w:val="both"/>
        <w:rPr>
          <w:rFonts w:ascii="Tahoma" w:hAnsi="Tahoma" w:cs="Tahoma"/>
          <w:color w:val="FF0000"/>
        </w:rPr>
      </w:pPr>
      <w:r w:rsidRPr="002D7842">
        <w:rPr>
          <w:rFonts w:ascii="Tahoma" w:hAnsi="Tahoma" w:cs="Tahoma"/>
          <w:color w:val="FF0000"/>
        </w:rPr>
        <w:t xml:space="preserve">Este texto não substitui o publicado no </w:t>
      </w:r>
      <w:r w:rsidRPr="00BB74FD">
        <w:rPr>
          <w:rFonts w:ascii="Tahoma" w:hAnsi="Tahoma" w:cs="Tahoma"/>
          <w:i/>
          <w:color w:val="FF0000"/>
        </w:rPr>
        <w:t>Diário Oficial do Distrito Federal</w:t>
      </w:r>
      <w:r w:rsidRPr="002D7842">
        <w:rPr>
          <w:rFonts w:ascii="Tahoma" w:hAnsi="Tahoma" w:cs="Tahoma"/>
          <w:color w:val="FF0000"/>
        </w:rPr>
        <w:t>,</w:t>
      </w:r>
      <w:r w:rsidR="00E964C3">
        <w:rPr>
          <w:rFonts w:ascii="Tahoma" w:hAnsi="Tahoma" w:cs="Tahoma"/>
          <w:color w:val="FF0000"/>
        </w:rPr>
        <w:t xml:space="preserve"> de </w:t>
      </w:r>
      <w:r w:rsidR="00F838A0">
        <w:rPr>
          <w:rFonts w:ascii="Tahoma" w:hAnsi="Tahoma" w:cs="Tahoma"/>
          <w:color w:val="FF0000"/>
        </w:rPr>
        <w:t>8</w:t>
      </w:r>
      <w:r w:rsidRPr="002D7842">
        <w:rPr>
          <w:rFonts w:ascii="Tahoma" w:hAnsi="Tahoma" w:cs="Tahoma"/>
          <w:color w:val="FF0000"/>
        </w:rPr>
        <w:t>/</w:t>
      </w:r>
      <w:r w:rsidR="00CA50F6">
        <w:rPr>
          <w:rFonts w:ascii="Tahoma" w:hAnsi="Tahoma" w:cs="Tahoma"/>
          <w:color w:val="FF0000"/>
        </w:rPr>
        <w:t>0</w:t>
      </w:r>
      <w:r w:rsidR="00F838A0">
        <w:rPr>
          <w:rFonts w:ascii="Tahoma" w:hAnsi="Tahoma" w:cs="Tahoma"/>
          <w:color w:val="FF0000"/>
        </w:rPr>
        <w:t>4</w:t>
      </w:r>
      <w:r w:rsidR="006D654C">
        <w:rPr>
          <w:rFonts w:ascii="Tahoma" w:hAnsi="Tahoma" w:cs="Tahoma"/>
          <w:color w:val="FF0000"/>
        </w:rPr>
        <w:t>/20</w:t>
      </w:r>
      <w:r w:rsidR="00AD011D">
        <w:rPr>
          <w:rFonts w:ascii="Tahoma" w:hAnsi="Tahoma" w:cs="Tahoma"/>
          <w:color w:val="FF0000"/>
        </w:rPr>
        <w:t>2</w:t>
      </w:r>
      <w:r w:rsidR="00CA50F6">
        <w:rPr>
          <w:rFonts w:ascii="Tahoma" w:hAnsi="Tahoma" w:cs="Tahoma"/>
          <w:color w:val="FF0000"/>
        </w:rPr>
        <w:t>5</w:t>
      </w:r>
      <w:r w:rsidR="00BB29C3">
        <w:rPr>
          <w:rFonts w:ascii="Tahoma" w:hAnsi="Tahoma" w:cs="Tahoma"/>
          <w:color w:val="FF0000"/>
        </w:rPr>
        <w:t>.</w:t>
      </w:r>
    </w:p>
    <w:p w14:paraId="496D7054" w14:textId="13B009FF" w:rsidR="004F192B" w:rsidRPr="004F192B" w:rsidRDefault="004F192B" w:rsidP="004F192B">
      <w:pPr>
        <w:spacing w:before="120"/>
        <w:jc w:val="both"/>
        <w:rPr>
          <w:rFonts w:ascii="Tahoma" w:hAnsi="Tahoma" w:cs="Tahoma"/>
        </w:rPr>
      </w:pPr>
      <w:r w:rsidRPr="004F192B">
        <w:rPr>
          <w:rFonts w:ascii="Tahoma" w:hAnsi="Tahoma" w:cs="Tahoma"/>
        </w:rPr>
        <w:t>(Nota: o anexo</w:t>
      </w:r>
      <w:r w:rsidR="006D1E04">
        <w:rPr>
          <w:rFonts w:ascii="Tahoma" w:hAnsi="Tahoma" w:cs="Tahoma"/>
        </w:rPr>
        <w:t xml:space="preserve"> único</w:t>
      </w:r>
      <w:r w:rsidRPr="004F192B">
        <w:rPr>
          <w:rFonts w:ascii="Tahoma" w:hAnsi="Tahoma" w:cs="Tahoma"/>
        </w:rPr>
        <w:t xml:space="preserve"> pode ser consultado no </w:t>
      </w:r>
      <w:r w:rsidRPr="004F192B">
        <w:rPr>
          <w:rFonts w:ascii="Tahoma" w:hAnsi="Tahoma" w:cs="Tahoma"/>
          <w:i/>
        </w:rPr>
        <w:t>Diário Oficial do Distrito Federal</w:t>
      </w:r>
      <w:r w:rsidRPr="004F192B">
        <w:rPr>
          <w:rFonts w:ascii="Tahoma" w:hAnsi="Tahoma" w:cs="Tahoma"/>
        </w:rPr>
        <w:t>,</w:t>
      </w:r>
      <w:r w:rsidR="00E964C3">
        <w:rPr>
          <w:rFonts w:ascii="Tahoma" w:hAnsi="Tahoma" w:cs="Tahoma"/>
        </w:rPr>
        <w:t xml:space="preserve"> de </w:t>
      </w:r>
      <w:r w:rsidR="00F838A0">
        <w:rPr>
          <w:rFonts w:ascii="Tahoma" w:hAnsi="Tahoma" w:cs="Tahoma"/>
        </w:rPr>
        <w:t>8</w:t>
      </w:r>
      <w:r w:rsidRPr="004F192B">
        <w:rPr>
          <w:rFonts w:ascii="Tahoma" w:hAnsi="Tahoma" w:cs="Tahoma"/>
        </w:rPr>
        <w:t>/</w:t>
      </w:r>
      <w:r w:rsidR="00CA50F6">
        <w:rPr>
          <w:rFonts w:ascii="Tahoma" w:hAnsi="Tahoma" w:cs="Tahoma"/>
        </w:rPr>
        <w:t>0</w:t>
      </w:r>
      <w:r w:rsidR="00F838A0">
        <w:rPr>
          <w:rFonts w:ascii="Tahoma" w:hAnsi="Tahoma" w:cs="Tahoma"/>
        </w:rPr>
        <w:t>4</w:t>
      </w:r>
      <w:r w:rsidR="00AD011D">
        <w:rPr>
          <w:rFonts w:ascii="Tahoma" w:hAnsi="Tahoma" w:cs="Tahoma"/>
        </w:rPr>
        <w:t>/202</w:t>
      </w:r>
      <w:r w:rsidR="00CA50F6">
        <w:rPr>
          <w:rFonts w:ascii="Tahoma" w:hAnsi="Tahoma" w:cs="Tahoma"/>
        </w:rPr>
        <w:t>5</w:t>
      </w:r>
      <w:r w:rsidRPr="004F192B">
        <w:rPr>
          <w:rFonts w:ascii="Tahoma" w:hAnsi="Tahoma" w:cs="Tahoma"/>
        </w:rPr>
        <w:t>.</w:t>
      </w:r>
      <w:proofErr w:type="gramStart"/>
      <w:r w:rsidRPr="004F192B">
        <w:rPr>
          <w:rFonts w:ascii="Tahoma" w:hAnsi="Tahoma" w:cs="Tahoma"/>
        </w:rPr>
        <w:t>)</w:t>
      </w:r>
      <w:proofErr w:type="gramEnd"/>
    </w:p>
    <w:sectPr w:rsidR="004F192B" w:rsidRPr="004F192B" w:rsidSect="009A3F5D">
      <w:headerReference w:type="even" r:id="rId12"/>
      <w:headerReference w:type="default" r:id="rId13"/>
      <w:footerReference w:type="even" r:id="rId14"/>
      <w:pgSz w:w="11907" w:h="16840" w:code="9"/>
      <w:pgMar w:top="2268" w:right="1134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B39D9" w14:textId="77777777" w:rsidR="00272A37" w:rsidRDefault="00272A37">
      <w:r>
        <w:separator/>
      </w:r>
    </w:p>
  </w:endnote>
  <w:endnote w:type="continuationSeparator" w:id="0">
    <w:p w14:paraId="23B095EB" w14:textId="77777777" w:rsidR="00272A37" w:rsidRDefault="0027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2C2AC" w14:textId="77777777" w:rsidR="0034587C" w:rsidRDefault="003458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33269D" w14:textId="77777777" w:rsidR="0034587C" w:rsidRDefault="0034587C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09733" w14:textId="77777777" w:rsidR="00272A37" w:rsidRDefault="00272A37">
      <w:r>
        <w:separator/>
      </w:r>
    </w:p>
  </w:footnote>
  <w:footnote w:type="continuationSeparator" w:id="0">
    <w:p w14:paraId="6A9CB2FD" w14:textId="77777777" w:rsidR="00272A37" w:rsidRDefault="0027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11583" w14:textId="77777777" w:rsidR="0034587C" w:rsidRDefault="0034587C">
    <w:pPr>
      <w:pStyle w:val="Cabealho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C33348" w14:textId="77777777" w:rsidR="0034587C" w:rsidRDefault="0034587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93DE5" w14:textId="77777777" w:rsidR="0034587C" w:rsidRDefault="0034587C">
    <w:pPr>
      <w:pStyle w:val="Cabealho"/>
      <w:framePr w:wrap="around" w:vAnchor="text" w:hAnchor="margin" w:xAlign="right" w:y="1"/>
      <w:rPr>
        <w:rStyle w:val="Nmerodepgina"/>
        <w:rFonts w:ascii="Tahoma" w:hAnsi="Tahoma"/>
        <w:sz w:val="24"/>
      </w:rPr>
    </w:pPr>
    <w:r>
      <w:rPr>
        <w:rStyle w:val="Nmerodepgina"/>
        <w:rFonts w:ascii="Tahoma" w:hAnsi="Tahoma"/>
        <w:sz w:val="24"/>
      </w:rPr>
      <w:fldChar w:fldCharType="begin"/>
    </w:r>
    <w:r>
      <w:rPr>
        <w:rStyle w:val="Nmerodepgina"/>
        <w:rFonts w:ascii="Tahoma" w:hAnsi="Tahoma"/>
        <w:sz w:val="24"/>
      </w:rPr>
      <w:instrText xml:space="preserve">PAGE  </w:instrText>
    </w:r>
    <w:r>
      <w:rPr>
        <w:rStyle w:val="Nmerodepgina"/>
        <w:rFonts w:ascii="Tahoma" w:hAnsi="Tahoma"/>
        <w:sz w:val="24"/>
      </w:rPr>
      <w:fldChar w:fldCharType="separate"/>
    </w:r>
    <w:r w:rsidR="006D1E04">
      <w:rPr>
        <w:rStyle w:val="Nmerodepgina"/>
        <w:rFonts w:ascii="Tahoma" w:hAnsi="Tahoma"/>
        <w:noProof/>
        <w:sz w:val="24"/>
      </w:rPr>
      <w:t>3</w:t>
    </w:r>
    <w:r>
      <w:rPr>
        <w:rStyle w:val="Nmerodepgina"/>
        <w:rFonts w:ascii="Tahoma" w:hAnsi="Tahoma"/>
        <w:sz w:val="24"/>
      </w:rPr>
      <w:fldChar w:fldCharType="end"/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938"/>
    </w:tblGrid>
    <w:tr w:rsidR="0034587C" w14:paraId="44A628B7" w14:textId="77777777">
      <w:trPr>
        <w:trHeight w:hRule="exact" w:val="1158"/>
        <w:jc w:val="center"/>
      </w:trPr>
      <w:tc>
        <w:tcPr>
          <w:tcW w:w="1134" w:type="dxa"/>
          <w:tcBorders>
            <w:bottom w:val="single" w:sz="6" w:space="0" w:color="auto"/>
          </w:tcBorders>
          <w:vAlign w:val="center"/>
        </w:tcPr>
        <w:p w14:paraId="11C847BF" w14:textId="06E55C95" w:rsidR="0034587C" w:rsidRDefault="00E964C3">
          <w:pPr>
            <w:ind w:right="360"/>
            <w:rPr>
              <w:rFonts w:ascii="Tahoma" w:hAnsi="Tahoma"/>
            </w:rPr>
          </w:pPr>
          <w:r>
            <w:rPr>
              <w:rFonts w:ascii="Tahoma" w:hAnsi="Tahoma"/>
              <w:b/>
              <w:noProof/>
            </w:rPr>
            <w:drawing>
              <wp:inline distT="0" distB="0" distL="0" distR="0" wp14:anchorId="4D53752C" wp14:editId="4E2F47E1">
                <wp:extent cx="666750" cy="6667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6" w:space="0" w:color="auto"/>
          </w:tcBorders>
          <w:vAlign w:val="bottom"/>
        </w:tcPr>
        <w:p w14:paraId="4B751DCA" w14:textId="77777777" w:rsidR="00BE2269" w:rsidRDefault="00BE2269" w:rsidP="00BE2269">
          <w:pPr>
            <w:pStyle w:val="Ttulo6"/>
            <w:spacing w:after="60"/>
            <w:jc w:val="both"/>
            <w:rPr>
              <w:rFonts w:ascii="Tahoma" w:hAnsi="Tahoma"/>
              <w:spacing w:val="12"/>
            </w:rPr>
          </w:pPr>
          <w:r>
            <w:rPr>
              <w:rFonts w:ascii="Tahoma" w:hAnsi="Tahoma"/>
            </w:rPr>
            <w:t>CÂMARA LEGISLATIVA DO DISTRITO FEDERA</w:t>
          </w:r>
          <w:r>
            <w:rPr>
              <w:rFonts w:ascii="Tahoma" w:hAnsi="Tahoma"/>
              <w:spacing w:val="12"/>
            </w:rPr>
            <w:t>L</w:t>
          </w:r>
        </w:p>
        <w:p w14:paraId="67049916" w14:textId="77777777" w:rsidR="00BE2269" w:rsidRDefault="00BE2269" w:rsidP="00BE2269">
          <w:pPr>
            <w:spacing w:after="60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Presidência - SELEG</w:t>
          </w:r>
        </w:p>
        <w:p w14:paraId="3671BE81" w14:textId="77777777" w:rsidR="000025FC" w:rsidRPr="000025FC" w:rsidRDefault="00BE2269" w:rsidP="00E964C3">
          <w:pPr>
            <w:spacing w:after="120"/>
          </w:pPr>
          <w:r w:rsidRPr="006A0C17">
            <w:rPr>
              <w:rFonts w:ascii="Tahoma" w:hAnsi="Tahoma" w:cs="Tahoma"/>
              <w:b/>
            </w:rPr>
            <w:t>Núcleo de Informatização da Legislação</w:t>
          </w:r>
          <w:r>
            <w:rPr>
              <w:rFonts w:ascii="Tahoma" w:hAnsi="Tahoma" w:cs="Tahoma"/>
              <w:b/>
            </w:rPr>
            <w:t xml:space="preserve"> </w:t>
          </w:r>
          <w:r w:rsidRPr="006A0C17">
            <w:rPr>
              <w:rFonts w:ascii="Tahoma" w:hAnsi="Tahoma" w:cs="Tahoma"/>
              <w:b/>
            </w:rPr>
            <w:t>–</w:t>
          </w:r>
          <w:r>
            <w:rPr>
              <w:rFonts w:ascii="Tahoma" w:hAnsi="Tahoma" w:cs="Tahoma"/>
              <w:b/>
            </w:rPr>
            <w:t xml:space="preserve"> </w:t>
          </w:r>
          <w:r w:rsidRPr="006A0C17">
            <w:rPr>
              <w:rFonts w:ascii="Tahoma" w:hAnsi="Tahoma" w:cs="Tahoma"/>
              <w:b/>
            </w:rPr>
            <w:t>NIL</w:t>
          </w:r>
        </w:p>
      </w:tc>
    </w:tr>
  </w:tbl>
  <w:p w14:paraId="3574C3C1" w14:textId="77777777" w:rsidR="0034587C" w:rsidRDefault="0034587C">
    <w:pPr>
      <w:pStyle w:val="Cabealho"/>
      <w:rPr>
        <w:rFonts w:ascii="Tahoma" w:hAnsi="Tahoma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425"/>
    <w:multiLevelType w:val="hybridMultilevel"/>
    <w:tmpl w:val="EE0E3848"/>
    <w:lvl w:ilvl="0" w:tplc="FFFFFFFF">
      <w:start w:val="1"/>
      <w:numFmt w:val="lowerLetter"/>
      <w:lvlText w:val="%1)"/>
      <w:lvlJc w:val="left"/>
      <w:pPr>
        <w:tabs>
          <w:tab w:val="num" w:pos="2859"/>
        </w:tabs>
        <w:ind w:left="2859" w:hanging="17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A0523B9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107B7C"/>
    <w:multiLevelType w:val="multilevel"/>
    <w:tmpl w:val="E2C4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77851"/>
    <w:multiLevelType w:val="hybridMultilevel"/>
    <w:tmpl w:val="6602D24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350991"/>
    <w:multiLevelType w:val="singleLevel"/>
    <w:tmpl w:val="6A62B27C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abstractNum w:abstractNumId="5">
    <w:nsid w:val="2E5475A2"/>
    <w:multiLevelType w:val="singleLevel"/>
    <w:tmpl w:val="5756035A"/>
    <w:lvl w:ilvl="0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6">
    <w:nsid w:val="359F4247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72171EC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C937010"/>
    <w:multiLevelType w:val="singleLevel"/>
    <w:tmpl w:val="E5D6E25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E08454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9F73C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294230"/>
    <w:multiLevelType w:val="hybridMultilevel"/>
    <w:tmpl w:val="AB7886DA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2509D4"/>
    <w:multiLevelType w:val="singleLevel"/>
    <w:tmpl w:val="7E002E32"/>
    <w:lvl w:ilvl="0">
      <w:start w:val="1"/>
      <w:numFmt w:val="decimal"/>
      <w:lvlText w:val="%1)"/>
      <w:lvlJc w:val="left"/>
      <w:pPr>
        <w:tabs>
          <w:tab w:val="num" w:pos="-1341"/>
        </w:tabs>
        <w:ind w:left="-1341" w:hanging="360"/>
      </w:pPr>
      <w:rPr>
        <w:rFonts w:hint="default"/>
      </w:rPr>
    </w:lvl>
  </w:abstractNum>
  <w:abstractNum w:abstractNumId="13">
    <w:nsid w:val="6C4C77F4"/>
    <w:multiLevelType w:val="singleLevel"/>
    <w:tmpl w:val="407C35DA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3C"/>
    <w:rsid w:val="00000D14"/>
    <w:rsid w:val="00000D96"/>
    <w:rsid w:val="000022C8"/>
    <w:rsid w:val="000025FC"/>
    <w:rsid w:val="00003AF2"/>
    <w:rsid w:val="000044C4"/>
    <w:rsid w:val="00005BDF"/>
    <w:rsid w:val="00006CBB"/>
    <w:rsid w:val="00007840"/>
    <w:rsid w:val="00011868"/>
    <w:rsid w:val="0001318D"/>
    <w:rsid w:val="000135F3"/>
    <w:rsid w:val="0001600E"/>
    <w:rsid w:val="0001666D"/>
    <w:rsid w:val="00016C7B"/>
    <w:rsid w:val="0002095F"/>
    <w:rsid w:val="000235F7"/>
    <w:rsid w:val="00024A2B"/>
    <w:rsid w:val="000269B3"/>
    <w:rsid w:val="0003055C"/>
    <w:rsid w:val="00030AA2"/>
    <w:rsid w:val="000343B8"/>
    <w:rsid w:val="00034507"/>
    <w:rsid w:val="00034D47"/>
    <w:rsid w:val="00036C93"/>
    <w:rsid w:val="00037C67"/>
    <w:rsid w:val="00040DFB"/>
    <w:rsid w:val="00040EF3"/>
    <w:rsid w:val="00041496"/>
    <w:rsid w:val="000430BB"/>
    <w:rsid w:val="0004573A"/>
    <w:rsid w:val="00046E6C"/>
    <w:rsid w:val="00047258"/>
    <w:rsid w:val="000520EA"/>
    <w:rsid w:val="0005305C"/>
    <w:rsid w:val="00054065"/>
    <w:rsid w:val="00054819"/>
    <w:rsid w:val="0005664D"/>
    <w:rsid w:val="00057C61"/>
    <w:rsid w:val="00060BFE"/>
    <w:rsid w:val="000618D8"/>
    <w:rsid w:val="00062592"/>
    <w:rsid w:val="00062992"/>
    <w:rsid w:val="00064D8F"/>
    <w:rsid w:val="00065149"/>
    <w:rsid w:val="000656B7"/>
    <w:rsid w:val="000673F8"/>
    <w:rsid w:val="000715A0"/>
    <w:rsid w:val="00072032"/>
    <w:rsid w:val="0007325B"/>
    <w:rsid w:val="00073569"/>
    <w:rsid w:val="0007369F"/>
    <w:rsid w:val="00073850"/>
    <w:rsid w:val="00073CDE"/>
    <w:rsid w:val="000749F2"/>
    <w:rsid w:val="0007759A"/>
    <w:rsid w:val="00077902"/>
    <w:rsid w:val="00080163"/>
    <w:rsid w:val="000805F5"/>
    <w:rsid w:val="0008092B"/>
    <w:rsid w:val="00080C14"/>
    <w:rsid w:val="00080D50"/>
    <w:rsid w:val="000826F9"/>
    <w:rsid w:val="00082C74"/>
    <w:rsid w:val="00083101"/>
    <w:rsid w:val="00083C18"/>
    <w:rsid w:val="00085046"/>
    <w:rsid w:val="00085BC3"/>
    <w:rsid w:val="00090CF2"/>
    <w:rsid w:val="00092428"/>
    <w:rsid w:val="00093395"/>
    <w:rsid w:val="00093DBD"/>
    <w:rsid w:val="000972C4"/>
    <w:rsid w:val="000A0C29"/>
    <w:rsid w:val="000A517F"/>
    <w:rsid w:val="000A6255"/>
    <w:rsid w:val="000A6947"/>
    <w:rsid w:val="000A7906"/>
    <w:rsid w:val="000B0EBD"/>
    <w:rsid w:val="000B342D"/>
    <w:rsid w:val="000B4E25"/>
    <w:rsid w:val="000B66CA"/>
    <w:rsid w:val="000C0713"/>
    <w:rsid w:val="000C0945"/>
    <w:rsid w:val="000C0A50"/>
    <w:rsid w:val="000C2066"/>
    <w:rsid w:val="000C3790"/>
    <w:rsid w:val="000C48C4"/>
    <w:rsid w:val="000C559C"/>
    <w:rsid w:val="000C637B"/>
    <w:rsid w:val="000D3AAE"/>
    <w:rsid w:val="000D43F8"/>
    <w:rsid w:val="000D4B27"/>
    <w:rsid w:val="000D5F35"/>
    <w:rsid w:val="000D6C9A"/>
    <w:rsid w:val="000D7898"/>
    <w:rsid w:val="000E2EA4"/>
    <w:rsid w:val="000E405D"/>
    <w:rsid w:val="000E4CCA"/>
    <w:rsid w:val="000E58FC"/>
    <w:rsid w:val="000E6924"/>
    <w:rsid w:val="000F210C"/>
    <w:rsid w:val="000F43BA"/>
    <w:rsid w:val="000F67D5"/>
    <w:rsid w:val="000F6D4D"/>
    <w:rsid w:val="000F7831"/>
    <w:rsid w:val="00101083"/>
    <w:rsid w:val="00101423"/>
    <w:rsid w:val="00102110"/>
    <w:rsid w:val="00102B36"/>
    <w:rsid w:val="00103248"/>
    <w:rsid w:val="001066B4"/>
    <w:rsid w:val="00106777"/>
    <w:rsid w:val="001077D1"/>
    <w:rsid w:val="00107C67"/>
    <w:rsid w:val="00110015"/>
    <w:rsid w:val="0011111D"/>
    <w:rsid w:val="0011229A"/>
    <w:rsid w:val="001123F0"/>
    <w:rsid w:val="00112647"/>
    <w:rsid w:val="001133D4"/>
    <w:rsid w:val="001146D6"/>
    <w:rsid w:val="00114D50"/>
    <w:rsid w:val="00115EBE"/>
    <w:rsid w:val="0011761F"/>
    <w:rsid w:val="00117651"/>
    <w:rsid w:val="00117BC0"/>
    <w:rsid w:val="0012063D"/>
    <w:rsid w:val="00122516"/>
    <w:rsid w:val="00123149"/>
    <w:rsid w:val="00124923"/>
    <w:rsid w:val="00125005"/>
    <w:rsid w:val="001268AF"/>
    <w:rsid w:val="00126F6F"/>
    <w:rsid w:val="001300BA"/>
    <w:rsid w:val="0013092F"/>
    <w:rsid w:val="00131180"/>
    <w:rsid w:val="001315B6"/>
    <w:rsid w:val="0013480C"/>
    <w:rsid w:val="0013665E"/>
    <w:rsid w:val="001372E3"/>
    <w:rsid w:val="001438CB"/>
    <w:rsid w:val="00144B67"/>
    <w:rsid w:val="00144DC5"/>
    <w:rsid w:val="0014608E"/>
    <w:rsid w:val="001467FC"/>
    <w:rsid w:val="00147464"/>
    <w:rsid w:val="00150CA1"/>
    <w:rsid w:val="001510AD"/>
    <w:rsid w:val="00153735"/>
    <w:rsid w:val="00153FAB"/>
    <w:rsid w:val="001545AA"/>
    <w:rsid w:val="00154B89"/>
    <w:rsid w:val="0015596A"/>
    <w:rsid w:val="001575C5"/>
    <w:rsid w:val="00161A75"/>
    <w:rsid w:val="00161BDA"/>
    <w:rsid w:val="00162ACF"/>
    <w:rsid w:val="00164C04"/>
    <w:rsid w:val="00166579"/>
    <w:rsid w:val="00166730"/>
    <w:rsid w:val="00167BFF"/>
    <w:rsid w:val="00170E06"/>
    <w:rsid w:val="00180CA3"/>
    <w:rsid w:val="00186378"/>
    <w:rsid w:val="00187362"/>
    <w:rsid w:val="00190B34"/>
    <w:rsid w:val="001925FD"/>
    <w:rsid w:val="00196DE1"/>
    <w:rsid w:val="001A052E"/>
    <w:rsid w:val="001A0C3F"/>
    <w:rsid w:val="001A1683"/>
    <w:rsid w:val="001A3C3E"/>
    <w:rsid w:val="001A4A7A"/>
    <w:rsid w:val="001B0082"/>
    <w:rsid w:val="001B6EFC"/>
    <w:rsid w:val="001B731A"/>
    <w:rsid w:val="001B7633"/>
    <w:rsid w:val="001C2BA4"/>
    <w:rsid w:val="001C2D7E"/>
    <w:rsid w:val="001C37B3"/>
    <w:rsid w:val="001C717A"/>
    <w:rsid w:val="001D023A"/>
    <w:rsid w:val="001D02D5"/>
    <w:rsid w:val="001D0E99"/>
    <w:rsid w:val="001D1C48"/>
    <w:rsid w:val="001D2E6A"/>
    <w:rsid w:val="001D4092"/>
    <w:rsid w:val="001D4C0D"/>
    <w:rsid w:val="001D5294"/>
    <w:rsid w:val="001D565C"/>
    <w:rsid w:val="001D5ADE"/>
    <w:rsid w:val="001D5F9D"/>
    <w:rsid w:val="001E0683"/>
    <w:rsid w:val="001E1E96"/>
    <w:rsid w:val="001E3AE5"/>
    <w:rsid w:val="001E3FF6"/>
    <w:rsid w:val="001E4B4E"/>
    <w:rsid w:val="001E4E7A"/>
    <w:rsid w:val="001E68F6"/>
    <w:rsid w:val="001E6A3A"/>
    <w:rsid w:val="001F082B"/>
    <w:rsid w:val="001F13C1"/>
    <w:rsid w:val="001F204A"/>
    <w:rsid w:val="001F2B8B"/>
    <w:rsid w:val="001F34A1"/>
    <w:rsid w:val="001F3661"/>
    <w:rsid w:val="001F3958"/>
    <w:rsid w:val="001F39F1"/>
    <w:rsid w:val="001F3A64"/>
    <w:rsid w:val="001F7192"/>
    <w:rsid w:val="002010ED"/>
    <w:rsid w:val="00201260"/>
    <w:rsid w:val="0020214B"/>
    <w:rsid w:val="00202918"/>
    <w:rsid w:val="002029B1"/>
    <w:rsid w:val="002031E0"/>
    <w:rsid w:val="00203BB5"/>
    <w:rsid w:val="00204B00"/>
    <w:rsid w:val="002052F2"/>
    <w:rsid w:val="00206C81"/>
    <w:rsid w:val="002073D1"/>
    <w:rsid w:val="0020757D"/>
    <w:rsid w:val="002078CB"/>
    <w:rsid w:val="00210899"/>
    <w:rsid w:val="00210BC1"/>
    <w:rsid w:val="00211619"/>
    <w:rsid w:val="002127E2"/>
    <w:rsid w:val="00212A29"/>
    <w:rsid w:val="00213E02"/>
    <w:rsid w:val="002156A1"/>
    <w:rsid w:val="002162E0"/>
    <w:rsid w:val="002163CF"/>
    <w:rsid w:val="00220E76"/>
    <w:rsid w:val="0022112B"/>
    <w:rsid w:val="00221E68"/>
    <w:rsid w:val="00222040"/>
    <w:rsid w:val="00222D27"/>
    <w:rsid w:val="002230F0"/>
    <w:rsid w:val="002239CB"/>
    <w:rsid w:val="00224322"/>
    <w:rsid w:val="00224592"/>
    <w:rsid w:val="002258F0"/>
    <w:rsid w:val="00226B23"/>
    <w:rsid w:val="00226F9B"/>
    <w:rsid w:val="00227AA8"/>
    <w:rsid w:val="002334B0"/>
    <w:rsid w:val="002334C5"/>
    <w:rsid w:val="00233A37"/>
    <w:rsid w:val="00234052"/>
    <w:rsid w:val="002356A2"/>
    <w:rsid w:val="00242D65"/>
    <w:rsid w:val="00244144"/>
    <w:rsid w:val="002443C3"/>
    <w:rsid w:val="00245880"/>
    <w:rsid w:val="00250B3D"/>
    <w:rsid w:val="00255F7D"/>
    <w:rsid w:val="00256454"/>
    <w:rsid w:val="00257D75"/>
    <w:rsid w:val="00261937"/>
    <w:rsid w:val="00261F3E"/>
    <w:rsid w:val="002622BC"/>
    <w:rsid w:val="002622DA"/>
    <w:rsid w:val="00264DA4"/>
    <w:rsid w:val="002665AE"/>
    <w:rsid w:val="00266EA7"/>
    <w:rsid w:val="00266EB0"/>
    <w:rsid w:val="00271299"/>
    <w:rsid w:val="00271AA7"/>
    <w:rsid w:val="00271BB6"/>
    <w:rsid w:val="0027236F"/>
    <w:rsid w:val="00272A37"/>
    <w:rsid w:val="00272EFA"/>
    <w:rsid w:val="0027373C"/>
    <w:rsid w:val="002760A0"/>
    <w:rsid w:val="00276525"/>
    <w:rsid w:val="002766E1"/>
    <w:rsid w:val="00276891"/>
    <w:rsid w:val="00276A5F"/>
    <w:rsid w:val="0028134D"/>
    <w:rsid w:val="00281EE7"/>
    <w:rsid w:val="002829DE"/>
    <w:rsid w:val="00282F98"/>
    <w:rsid w:val="002865AB"/>
    <w:rsid w:val="002872F8"/>
    <w:rsid w:val="00287846"/>
    <w:rsid w:val="0029087E"/>
    <w:rsid w:val="002914C4"/>
    <w:rsid w:val="0029203B"/>
    <w:rsid w:val="00293DF1"/>
    <w:rsid w:val="00293FFB"/>
    <w:rsid w:val="00296102"/>
    <w:rsid w:val="00297909"/>
    <w:rsid w:val="002A5208"/>
    <w:rsid w:val="002A5517"/>
    <w:rsid w:val="002A5756"/>
    <w:rsid w:val="002A69CE"/>
    <w:rsid w:val="002A6FC6"/>
    <w:rsid w:val="002A746E"/>
    <w:rsid w:val="002B01D5"/>
    <w:rsid w:val="002B1EC6"/>
    <w:rsid w:val="002B227D"/>
    <w:rsid w:val="002B3478"/>
    <w:rsid w:val="002B42D4"/>
    <w:rsid w:val="002B4516"/>
    <w:rsid w:val="002B4AA2"/>
    <w:rsid w:val="002B4DB3"/>
    <w:rsid w:val="002B5BDA"/>
    <w:rsid w:val="002B6445"/>
    <w:rsid w:val="002B6B57"/>
    <w:rsid w:val="002B7161"/>
    <w:rsid w:val="002B76F0"/>
    <w:rsid w:val="002B7C6F"/>
    <w:rsid w:val="002C1319"/>
    <w:rsid w:val="002C1AA3"/>
    <w:rsid w:val="002C23E0"/>
    <w:rsid w:val="002C329A"/>
    <w:rsid w:val="002C512E"/>
    <w:rsid w:val="002C526A"/>
    <w:rsid w:val="002C5C09"/>
    <w:rsid w:val="002C665C"/>
    <w:rsid w:val="002C7065"/>
    <w:rsid w:val="002D077D"/>
    <w:rsid w:val="002D1112"/>
    <w:rsid w:val="002D1479"/>
    <w:rsid w:val="002D150E"/>
    <w:rsid w:val="002D1D68"/>
    <w:rsid w:val="002D25D4"/>
    <w:rsid w:val="002D36E3"/>
    <w:rsid w:val="002D5CFA"/>
    <w:rsid w:val="002D7561"/>
    <w:rsid w:val="002D7650"/>
    <w:rsid w:val="002D7842"/>
    <w:rsid w:val="002E293E"/>
    <w:rsid w:val="002E3880"/>
    <w:rsid w:val="002F016E"/>
    <w:rsid w:val="002F32DA"/>
    <w:rsid w:val="002F5134"/>
    <w:rsid w:val="002F5CEF"/>
    <w:rsid w:val="002F66FE"/>
    <w:rsid w:val="00300B0B"/>
    <w:rsid w:val="0030262A"/>
    <w:rsid w:val="003031A9"/>
    <w:rsid w:val="00303843"/>
    <w:rsid w:val="00304026"/>
    <w:rsid w:val="00304A48"/>
    <w:rsid w:val="00305CF5"/>
    <w:rsid w:val="00306A9F"/>
    <w:rsid w:val="00313344"/>
    <w:rsid w:val="0031336D"/>
    <w:rsid w:val="003138FC"/>
    <w:rsid w:val="00313909"/>
    <w:rsid w:val="00315A99"/>
    <w:rsid w:val="0031647C"/>
    <w:rsid w:val="00317A4B"/>
    <w:rsid w:val="00320262"/>
    <w:rsid w:val="0032046F"/>
    <w:rsid w:val="003236B5"/>
    <w:rsid w:val="00323E52"/>
    <w:rsid w:val="00324C0B"/>
    <w:rsid w:val="003253C5"/>
    <w:rsid w:val="00327660"/>
    <w:rsid w:val="0033046C"/>
    <w:rsid w:val="003337B6"/>
    <w:rsid w:val="00334818"/>
    <w:rsid w:val="00334B41"/>
    <w:rsid w:val="00334D1F"/>
    <w:rsid w:val="0033680F"/>
    <w:rsid w:val="003368C0"/>
    <w:rsid w:val="0033719E"/>
    <w:rsid w:val="003374A0"/>
    <w:rsid w:val="0033786E"/>
    <w:rsid w:val="00337889"/>
    <w:rsid w:val="00340718"/>
    <w:rsid w:val="00341A7F"/>
    <w:rsid w:val="00341FAD"/>
    <w:rsid w:val="00342F39"/>
    <w:rsid w:val="00343470"/>
    <w:rsid w:val="00343F07"/>
    <w:rsid w:val="003442C2"/>
    <w:rsid w:val="003445EC"/>
    <w:rsid w:val="00344CF6"/>
    <w:rsid w:val="00344F35"/>
    <w:rsid w:val="0034587C"/>
    <w:rsid w:val="00345CE1"/>
    <w:rsid w:val="00346006"/>
    <w:rsid w:val="00346199"/>
    <w:rsid w:val="0035149A"/>
    <w:rsid w:val="00351B3C"/>
    <w:rsid w:val="003537B0"/>
    <w:rsid w:val="00353A18"/>
    <w:rsid w:val="003601AB"/>
    <w:rsid w:val="003611D7"/>
    <w:rsid w:val="00363493"/>
    <w:rsid w:val="00363DC8"/>
    <w:rsid w:val="003642BE"/>
    <w:rsid w:val="00370ED9"/>
    <w:rsid w:val="003776AF"/>
    <w:rsid w:val="00380BBF"/>
    <w:rsid w:val="003817E9"/>
    <w:rsid w:val="003834DF"/>
    <w:rsid w:val="00383EE5"/>
    <w:rsid w:val="0038436D"/>
    <w:rsid w:val="00387B27"/>
    <w:rsid w:val="00387DD3"/>
    <w:rsid w:val="0039062E"/>
    <w:rsid w:val="003923EB"/>
    <w:rsid w:val="00392A6D"/>
    <w:rsid w:val="003939CB"/>
    <w:rsid w:val="00394A79"/>
    <w:rsid w:val="00394CB9"/>
    <w:rsid w:val="003A0232"/>
    <w:rsid w:val="003A05A3"/>
    <w:rsid w:val="003A0E04"/>
    <w:rsid w:val="003A1B5E"/>
    <w:rsid w:val="003A4236"/>
    <w:rsid w:val="003A56BD"/>
    <w:rsid w:val="003A5D9E"/>
    <w:rsid w:val="003A67F0"/>
    <w:rsid w:val="003B1B6D"/>
    <w:rsid w:val="003B2B4E"/>
    <w:rsid w:val="003B463C"/>
    <w:rsid w:val="003B4ED0"/>
    <w:rsid w:val="003B7BDA"/>
    <w:rsid w:val="003C082A"/>
    <w:rsid w:val="003C148B"/>
    <w:rsid w:val="003C306C"/>
    <w:rsid w:val="003D1C76"/>
    <w:rsid w:val="003D2115"/>
    <w:rsid w:val="003D2DCB"/>
    <w:rsid w:val="003D3536"/>
    <w:rsid w:val="003D490A"/>
    <w:rsid w:val="003D57B0"/>
    <w:rsid w:val="003D63A6"/>
    <w:rsid w:val="003D78EE"/>
    <w:rsid w:val="003E171A"/>
    <w:rsid w:val="003E226E"/>
    <w:rsid w:val="003E4D30"/>
    <w:rsid w:val="003F0777"/>
    <w:rsid w:val="003F1094"/>
    <w:rsid w:val="003F10A0"/>
    <w:rsid w:val="003F3327"/>
    <w:rsid w:val="003F4F09"/>
    <w:rsid w:val="003F5E14"/>
    <w:rsid w:val="003F603E"/>
    <w:rsid w:val="003F61F7"/>
    <w:rsid w:val="003F6B01"/>
    <w:rsid w:val="00400B9E"/>
    <w:rsid w:val="0040176D"/>
    <w:rsid w:val="00404ED0"/>
    <w:rsid w:val="00407986"/>
    <w:rsid w:val="00407FC9"/>
    <w:rsid w:val="0041250D"/>
    <w:rsid w:val="0041625D"/>
    <w:rsid w:val="004165FB"/>
    <w:rsid w:val="0042011A"/>
    <w:rsid w:val="00420328"/>
    <w:rsid w:val="00420C27"/>
    <w:rsid w:val="00420ED2"/>
    <w:rsid w:val="00421E6D"/>
    <w:rsid w:val="004224AC"/>
    <w:rsid w:val="00423311"/>
    <w:rsid w:val="00424E51"/>
    <w:rsid w:val="004301DB"/>
    <w:rsid w:val="00430C3F"/>
    <w:rsid w:val="00432CC3"/>
    <w:rsid w:val="00434484"/>
    <w:rsid w:val="00434FF0"/>
    <w:rsid w:val="004351E5"/>
    <w:rsid w:val="00436187"/>
    <w:rsid w:val="0043645D"/>
    <w:rsid w:val="00436C61"/>
    <w:rsid w:val="0043743B"/>
    <w:rsid w:val="00441127"/>
    <w:rsid w:val="004419AD"/>
    <w:rsid w:val="004429FA"/>
    <w:rsid w:val="00442C07"/>
    <w:rsid w:val="00443F84"/>
    <w:rsid w:val="00444E8F"/>
    <w:rsid w:val="004468B6"/>
    <w:rsid w:val="00446CD1"/>
    <w:rsid w:val="00450885"/>
    <w:rsid w:val="00450CDF"/>
    <w:rsid w:val="00452637"/>
    <w:rsid w:val="00452BEE"/>
    <w:rsid w:val="0045518A"/>
    <w:rsid w:val="004553F3"/>
    <w:rsid w:val="004575D0"/>
    <w:rsid w:val="00457864"/>
    <w:rsid w:val="0046373B"/>
    <w:rsid w:val="0046540C"/>
    <w:rsid w:val="004654BA"/>
    <w:rsid w:val="00467FB6"/>
    <w:rsid w:val="00471BB2"/>
    <w:rsid w:val="0047235B"/>
    <w:rsid w:val="004736EA"/>
    <w:rsid w:val="00473BBA"/>
    <w:rsid w:val="004751CA"/>
    <w:rsid w:val="00476595"/>
    <w:rsid w:val="00476A88"/>
    <w:rsid w:val="004805E4"/>
    <w:rsid w:val="00481785"/>
    <w:rsid w:val="004822EF"/>
    <w:rsid w:val="00482559"/>
    <w:rsid w:val="00484E34"/>
    <w:rsid w:val="0048558B"/>
    <w:rsid w:val="00485D32"/>
    <w:rsid w:val="00491518"/>
    <w:rsid w:val="0049752D"/>
    <w:rsid w:val="004A0296"/>
    <w:rsid w:val="004A3BEC"/>
    <w:rsid w:val="004A45D2"/>
    <w:rsid w:val="004A4CCC"/>
    <w:rsid w:val="004A5132"/>
    <w:rsid w:val="004A6F2F"/>
    <w:rsid w:val="004B02A2"/>
    <w:rsid w:val="004B038B"/>
    <w:rsid w:val="004B117A"/>
    <w:rsid w:val="004B3451"/>
    <w:rsid w:val="004B37B9"/>
    <w:rsid w:val="004B3E24"/>
    <w:rsid w:val="004B4C69"/>
    <w:rsid w:val="004B56C1"/>
    <w:rsid w:val="004B63BF"/>
    <w:rsid w:val="004B675A"/>
    <w:rsid w:val="004B6FCC"/>
    <w:rsid w:val="004C07B8"/>
    <w:rsid w:val="004C22E5"/>
    <w:rsid w:val="004C247C"/>
    <w:rsid w:val="004C3A8F"/>
    <w:rsid w:val="004C4674"/>
    <w:rsid w:val="004C4A3E"/>
    <w:rsid w:val="004C4D21"/>
    <w:rsid w:val="004C5730"/>
    <w:rsid w:val="004C5DCB"/>
    <w:rsid w:val="004C7D29"/>
    <w:rsid w:val="004D1764"/>
    <w:rsid w:val="004D2B9A"/>
    <w:rsid w:val="004D3999"/>
    <w:rsid w:val="004D41DD"/>
    <w:rsid w:val="004D4AEE"/>
    <w:rsid w:val="004D5F90"/>
    <w:rsid w:val="004D7ABC"/>
    <w:rsid w:val="004E4EA4"/>
    <w:rsid w:val="004E7D8D"/>
    <w:rsid w:val="004F192B"/>
    <w:rsid w:val="004F359E"/>
    <w:rsid w:val="004F4895"/>
    <w:rsid w:val="004F5948"/>
    <w:rsid w:val="004F6301"/>
    <w:rsid w:val="004F6855"/>
    <w:rsid w:val="004F6864"/>
    <w:rsid w:val="00500165"/>
    <w:rsid w:val="00502158"/>
    <w:rsid w:val="00502AD9"/>
    <w:rsid w:val="00503E41"/>
    <w:rsid w:val="0050427B"/>
    <w:rsid w:val="00506CE2"/>
    <w:rsid w:val="00507AF3"/>
    <w:rsid w:val="005106D9"/>
    <w:rsid w:val="00512C7A"/>
    <w:rsid w:val="0051313E"/>
    <w:rsid w:val="005133BF"/>
    <w:rsid w:val="00514D76"/>
    <w:rsid w:val="00516FA6"/>
    <w:rsid w:val="0052133C"/>
    <w:rsid w:val="00521CD7"/>
    <w:rsid w:val="00521CF9"/>
    <w:rsid w:val="0052550A"/>
    <w:rsid w:val="00525A36"/>
    <w:rsid w:val="005262F6"/>
    <w:rsid w:val="00527275"/>
    <w:rsid w:val="005276D7"/>
    <w:rsid w:val="005309A6"/>
    <w:rsid w:val="00531084"/>
    <w:rsid w:val="00532588"/>
    <w:rsid w:val="00532B00"/>
    <w:rsid w:val="00533046"/>
    <w:rsid w:val="005348A2"/>
    <w:rsid w:val="00540CAE"/>
    <w:rsid w:val="005418AD"/>
    <w:rsid w:val="00541C0E"/>
    <w:rsid w:val="00542942"/>
    <w:rsid w:val="00543B0B"/>
    <w:rsid w:val="0055004B"/>
    <w:rsid w:val="00552A29"/>
    <w:rsid w:val="00552D68"/>
    <w:rsid w:val="00555E56"/>
    <w:rsid w:val="005567EC"/>
    <w:rsid w:val="00556A36"/>
    <w:rsid w:val="00556ABD"/>
    <w:rsid w:val="00562077"/>
    <w:rsid w:val="00562EB9"/>
    <w:rsid w:val="00565F33"/>
    <w:rsid w:val="00566030"/>
    <w:rsid w:val="0056605A"/>
    <w:rsid w:val="005670DA"/>
    <w:rsid w:val="0056739F"/>
    <w:rsid w:val="00572F76"/>
    <w:rsid w:val="00572FE2"/>
    <w:rsid w:val="0057321F"/>
    <w:rsid w:val="0057547C"/>
    <w:rsid w:val="00575FA5"/>
    <w:rsid w:val="00576C49"/>
    <w:rsid w:val="00577529"/>
    <w:rsid w:val="00577794"/>
    <w:rsid w:val="00577D23"/>
    <w:rsid w:val="005814C3"/>
    <w:rsid w:val="0058766E"/>
    <w:rsid w:val="00587E46"/>
    <w:rsid w:val="00591B2E"/>
    <w:rsid w:val="00593FF5"/>
    <w:rsid w:val="005948A6"/>
    <w:rsid w:val="00595250"/>
    <w:rsid w:val="00597758"/>
    <w:rsid w:val="00597F4D"/>
    <w:rsid w:val="005A0CA6"/>
    <w:rsid w:val="005A12B2"/>
    <w:rsid w:val="005A2D5B"/>
    <w:rsid w:val="005A3E84"/>
    <w:rsid w:val="005A7492"/>
    <w:rsid w:val="005A7D60"/>
    <w:rsid w:val="005B0E3E"/>
    <w:rsid w:val="005B1408"/>
    <w:rsid w:val="005B1D61"/>
    <w:rsid w:val="005B53D6"/>
    <w:rsid w:val="005B7D1A"/>
    <w:rsid w:val="005C0CE1"/>
    <w:rsid w:val="005C2A40"/>
    <w:rsid w:val="005C40AD"/>
    <w:rsid w:val="005C5E36"/>
    <w:rsid w:val="005C71C9"/>
    <w:rsid w:val="005C78E0"/>
    <w:rsid w:val="005D2104"/>
    <w:rsid w:val="005D5F89"/>
    <w:rsid w:val="005D65B2"/>
    <w:rsid w:val="005E04C9"/>
    <w:rsid w:val="005E4377"/>
    <w:rsid w:val="005E4B70"/>
    <w:rsid w:val="005E5BDA"/>
    <w:rsid w:val="005E5D50"/>
    <w:rsid w:val="005E60F8"/>
    <w:rsid w:val="005F3592"/>
    <w:rsid w:val="005F4FC1"/>
    <w:rsid w:val="005F50AA"/>
    <w:rsid w:val="005F520C"/>
    <w:rsid w:val="005F7881"/>
    <w:rsid w:val="006004DB"/>
    <w:rsid w:val="00600DED"/>
    <w:rsid w:val="006016E4"/>
    <w:rsid w:val="0060578F"/>
    <w:rsid w:val="006109CA"/>
    <w:rsid w:val="00616D1F"/>
    <w:rsid w:val="006173CB"/>
    <w:rsid w:val="006238D1"/>
    <w:rsid w:val="00625402"/>
    <w:rsid w:val="00625A26"/>
    <w:rsid w:val="0062600D"/>
    <w:rsid w:val="006261D7"/>
    <w:rsid w:val="006279C4"/>
    <w:rsid w:val="00630540"/>
    <w:rsid w:val="00635A28"/>
    <w:rsid w:val="00635F38"/>
    <w:rsid w:val="0063735E"/>
    <w:rsid w:val="006375C8"/>
    <w:rsid w:val="00641832"/>
    <w:rsid w:val="006436D4"/>
    <w:rsid w:val="00644113"/>
    <w:rsid w:val="006446F1"/>
    <w:rsid w:val="00645BA0"/>
    <w:rsid w:val="00646CA8"/>
    <w:rsid w:val="00646E61"/>
    <w:rsid w:val="00647394"/>
    <w:rsid w:val="006520D3"/>
    <w:rsid w:val="00653437"/>
    <w:rsid w:val="006542E3"/>
    <w:rsid w:val="006565B7"/>
    <w:rsid w:val="006567F6"/>
    <w:rsid w:val="006568E0"/>
    <w:rsid w:val="00657D6D"/>
    <w:rsid w:val="00657F1F"/>
    <w:rsid w:val="006605E2"/>
    <w:rsid w:val="006609D6"/>
    <w:rsid w:val="00661B9C"/>
    <w:rsid w:val="0066274D"/>
    <w:rsid w:val="00665757"/>
    <w:rsid w:val="00665DEC"/>
    <w:rsid w:val="006665A8"/>
    <w:rsid w:val="00666D39"/>
    <w:rsid w:val="0067036F"/>
    <w:rsid w:val="00670D19"/>
    <w:rsid w:val="00672523"/>
    <w:rsid w:val="00672BAE"/>
    <w:rsid w:val="00673688"/>
    <w:rsid w:val="00674313"/>
    <w:rsid w:val="00676582"/>
    <w:rsid w:val="00677AE9"/>
    <w:rsid w:val="00681332"/>
    <w:rsid w:val="006825C4"/>
    <w:rsid w:val="0068350E"/>
    <w:rsid w:val="00684161"/>
    <w:rsid w:val="006864CF"/>
    <w:rsid w:val="00687552"/>
    <w:rsid w:val="006877E6"/>
    <w:rsid w:val="006926D7"/>
    <w:rsid w:val="00692F1E"/>
    <w:rsid w:val="006940D6"/>
    <w:rsid w:val="00695AAB"/>
    <w:rsid w:val="00697199"/>
    <w:rsid w:val="006A08B1"/>
    <w:rsid w:val="006A3906"/>
    <w:rsid w:val="006A43B6"/>
    <w:rsid w:val="006A49EA"/>
    <w:rsid w:val="006A4E1A"/>
    <w:rsid w:val="006A6038"/>
    <w:rsid w:val="006B44EE"/>
    <w:rsid w:val="006B5534"/>
    <w:rsid w:val="006C0864"/>
    <w:rsid w:val="006C0F8A"/>
    <w:rsid w:val="006C1073"/>
    <w:rsid w:val="006C1BD9"/>
    <w:rsid w:val="006C2AB5"/>
    <w:rsid w:val="006C30B1"/>
    <w:rsid w:val="006C6AE3"/>
    <w:rsid w:val="006D0EB5"/>
    <w:rsid w:val="006D1E04"/>
    <w:rsid w:val="006D3145"/>
    <w:rsid w:val="006D3E6D"/>
    <w:rsid w:val="006D654C"/>
    <w:rsid w:val="006E0EFA"/>
    <w:rsid w:val="006E19DB"/>
    <w:rsid w:val="006E42D3"/>
    <w:rsid w:val="006E5893"/>
    <w:rsid w:val="006E6240"/>
    <w:rsid w:val="006F0C5F"/>
    <w:rsid w:val="006F16D3"/>
    <w:rsid w:val="006F293B"/>
    <w:rsid w:val="006F5138"/>
    <w:rsid w:val="006F55D7"/>
    <w:rsid w:val="006F679B"/>
    <w:rsid w:val="007008D7"/>
    <w:rsid w:val="00700F38"/>
    <w:rsid w:val="00701858"/>
    <w:rsid w:val="00704971"/>
    <w:rsid w:val="00704A8C"/>
    <w:rsid w:val="00705F6D"/>
    <w:rsid w:val="00710179"/>
    <w:rsid w:val="0071067D"/>
    <w:rsid w:val="007110CE"/>
    <w:rsid w:val="007125E1"/>
    <w:rsid w:val="00712E07"/>
    <w:rsid w:val="007136FE"/>
    <w:rsid w:val="007146C7"/>
    <w:rsid w:val="00714DEB"/>
    <w:rsid w:val="00715953"/>
    <w:rsid w:val="00715AE1"/>
    <w:rsid w:val="00715E7F"/>
    <w:rsid w:val="00722A33"/>
    <w:rsid w:val="0072351E"/>
    <w:rsid w:val="00723CDB"/>
    <w:rsid w:val="00726C35"/>
    <w:rsid w:val="0072767A"/>
    <w:rsid w:val="007276DD"/>
    <w:rsid w:val="00731057"/>
    <w:rsid w:val="00735072"/>
    <w:rsid w:val="00737CF9"/>
    <w:rsid w:val="0074025C"/>
    <w:rsid w:val="007427E3"/>
    <w:rsid w:val="00742FB1"/>
    <w:rsid w:val="007436F9"/>
    <w:rsid w:val="00754042"/>
    <w:rsid w:val="0075525B"/>
    <w:rsid w:val="00755AEA"/>
    <w:rsid w:val="00756288"/>
    <w:rsid w:val="00756DD3"/>
    <w:rsid w:val="0075740F"/>
    <w:rsid w:val="00760A3D"/>
    <w:rsid w:val="00760BD0"/>
    <w:rsid w:val="0076427D"/>
    <w:rsid w:val="00766590"/>
    <w:rsid w:val="00767463"/>
    <w:rsid w:val="00771EB2"/>
    <w:rsid w:val="00773F43"/>
    <w:rsid w:val="00774EA6"/>
    <w:rsid w:val="00775309"/>
    <w:rsid w:val="00775BD3"/>
    <w:rsid w:val="007814E8"/>
    <w:rsid w:val="00783D73"/>
    <w:rsid w:val="00784FDC"/>
    <w:rsid w:val="0078511F"/>
    <w:rsid w:val="00785887"/>
    <w:rsid w:val="00786B4A"/>
    <w:rsid w:val="00790ABD"/>
    <w:rsid w:val="00791C0B"/>
    <w:rsid w:val="0079487C"/>
    <w:rsid w:val="007A0F60"/>
    <w:rsid w:val="007A42D9"/>
    <w:rsid w:val="007A5EAA"/>
    <w:rsid w:val="007A62D5"/>
    <w:rsid w:val="007A6A4F"/>
    <w:rsid w:val="007A6C1B"/>
    <w:rsid w:val="007A6D06"/>
    <w:rsid w:val="007A6FD1"/>
    <w:rsid w:val="007B4683"/>
    <w:rsid w:val="007B7874"/>
    <w:rsid w:val="007C2B53"/>
    <w:rsid w:val="007C31CC"/>
    <w:rsid w:val="007C3773"/>
    <w:rsid w:val="007C3A75"/>
    <w:rsid w:val="007C409E"/>
    <w:rsid w:val="007C5401"/>
    <w:rsid w:val="007C6FF8"/>
    <w:rsid w:val="007D01CA"/>
    <w:rsid w:val="007D0C2A"/>
    <w:rsid w:val="007D384C"/>
    <w:rsid w:val="007D409A"/>
    <w:rsid w:val="007D40A5"/>
    <w:rsid w:val="007D4AAF"/>
    <w:rsid w:val="007D4AED"/>
    <w:rsid w:val="007D4DCC"/>
    <w:rsid w:val="007D741A"/>
    <w:rsid w:val="007E06E9"/>
    <w:rsid w:val="007E0A38"/>
    <w:rsid w:val="007E1BCC"/>
    <w:rsid w:val="007E1FAE"/>
    <w:rsid w:val="007F02D7"/>
    <w:rsid w:val="007F1AB4"/>
    <w:rsid w:val="007F1DFC"/>
    <w:rsid w:val="007F26B2"/>
    <w:rsid w:val="007F33DE"/>
    <w:rsid w:val="007F369E"/>
    <w:rsid w:val="007F4910"/>
    <w:rsid w:val="007F6661"/>
    <w:rsid w:val="0080053C"/>
    <w:rsid w:val="0080062E"/>
    <w:rsid w:val="0080215E"/>
    <w:rsid w:val="00803143"/>
    <w:rsid w:val="00803787"/>
    <w:rsid w:val="00803B90"/>
    <w:rsid w:val="00803EC3"/>
    <w:rsid w:val="00804377"/>
    <w:rsid w:val="008054DA"/>
    <w:rsid w:val="00805FB3"/>
    <w:rsid w:val="0080796C"/>
    <w:rsid w:val="00810E22"/>
    <w:rsid w:val="00811963"/>
    <w:rsid w:val="00812CEC"/>
    <w:rsid w:val="00813940"/>
    <w:rsid w:val="00814D30"/>
    <w:rsid w:val="0081602D"/>
    <w:rsid w:val="00816C79"/>
    <w:rsid w:val="008177F3"/>
    <w:rsid w:val="00820BAE"/>
    <w:rsid w:val="00827B25"/>
    <w:rsid w:val="00832586"/>
    <w:rsid w:val="0083262F"/>
    <w:rsid w:val="00832774"/>
    <w:rsid w:val="0083283D"/>
    <w:rsid w:val="008336B6"/>
    <w:rsid w:val="00835606"/>
    <w:rsid w:val="00837A23"/>
    <w:rsid w:val="00842D24"/>
    <w:rsid w:val="00844864"/>
    <w:rsid w:val="008456E0"/>
    <w:rsid w:val="00851B36"/>
    <w:rsid w:val="00854B39"/>
    <w:rsid w:val="0085613B"/>
    <w:rsid w:val="008567D4"/>
    <w:rsid w:val="00856CF3"/>
    <w:rsid w:val="00856D20"/>
    <w:rsid w:val="00856ED2"/>
    <w:rsid w:val="00860BCD"/>
    <w:rsid w:val="0086183B"/>
    <w:rsid w:val="00863311"/>
    <w:rsid w:val="0086347F"/>
    <w:rsid w:val="00863ED0"/>
    <w:rsid w:val="008659BD"/>
    <w:rsid w:val="00865AEF"/>
    <w:rsid w:val="00865E2A"/>
    <w:rsid w:val="0087004D"/>
    <w:rsid w:val="00870CBF"/>
    <w:rsid w:val="008714C8"/>
    <w:rsid w:val="00873B53"/>
    <w:rsid w:val="008741D4"/>
    <w:rsid w:val="0087566A"/>
    <w:rsid w:val="00877E53"/>
    <w:rsid w:val="00881287"/>
    <w:rsid w:val="00881420"/>
    <w:rsid w:val="008815E4"/>
    <w:rsid w:val="0088162C"/>
    <w:rsid w:val="008828B5"/>
    <w:rsid w:val="00883AD1"/>
    <w:rsid w:val="008844DF"/>
    <w:rsid w:val="00884774"/>
    <w:rsid w:val="00884B3C"/>
    <w:rsid w:val="00884BD6"/>
    <w:rsid w:val="0088563F"/>
    <w:rsid w:val="0088616C"/>
    <w:rsid w:val="0088695A"/>
    <w:rsid w:val="008874A8"/>
    <w:rsid w:val="00887E00"/>
    <w:rsid w:val="00887E56"/>
    <w:rsid w:val="00892CCB"/>
    <w:rsid w:val="00893E25"/>
    <w:rsid w:val="00896231"/>
    <w:rsid w:val="008A535D"/>
    <w:rsid w:val="008A7EBE"/>
    <w:rsid w:val="008B04F1"/>
    <w:rsid w:val="008B18D3"/>
    <w:rsid w:val="008B58AE"/>
    <w:rsid w:val="008B7A9D"/>
    <w:rsid w:val="008C0B56"/>
    <w:rsid w:val="008C0CDF"/>
    <w:rsid w:val="008C2266"/>
    <w:rsid w:val="008C2FF7"/>
    <w:rsid w:val="008C40A1"/>
    <w:rsid w:val="008C4AA4"/>
    <w:rsid w:val="008C596A"/>
    <w:rsid w:val="008C6C98"/>
    <w:rsid w:val="008C785C"/>
    <w:rsid w:val="008D1120"/>
    <w:rsid w:val="008D1D99"/>
    <w:rsid w:val="008D30B6"/>
    <w:rsid w:val="008D38BE"/>
    <w:rsid w:val="008D4CDE"/>
    <w:rsid w:val="008D5180"/>
    <w:rsid w:val="008D5363"/>
    <w:rsid w:val="008D569B"/>
    <w:rsid w:val="008D619A"/>
    <w:rsid w:val="008D7EF5"/>
    <w:rsid w:val="008E04AB"/>
    <w:rsid w:val="008E117D"/>
    <w:rsid w:val="008E198C"/>
    <w:rsid w:val="008E1FC6"/>
    <w:rsid w:val="008E2161"/>
    <w:rsid w:val="008E24D5"/>
    <w:rsid w:val="008E3D30"/>
    <w:rsid w:val="008E4334"/>
    <w:rsid w:val="008E4E59"/>
    <w:rsid w:val="008E4F7E"/>
    <w:rsid w:val="008E5AB5"/>
    <w:rsid w:val="008E6CC3"/>
    <w:rsid w:val="008E6CF3"/>
    <w:rsid w:val="008E7D85"/>
    <w:rsid w:val="008F0D53"/>
    <w:rsid w:val="008F17AD"/>
    <w:rsid w:val="008F27B8"/>
    <w:rsid w:val="008F2BFB"/>
    <w:rsid w:val="008F3A8A"/>
    <w:rsid w:val="008F759C"/>
    <w:rsid w:val="0090313C"/>
    <w:rsid w:val="00905629"/>
    <w:rsid w:val="00910B2C"/>
    <w:rsid w:val="00910C40"/>
    <w:rsid w:val="00911253"/>
    <w:rsid w:val="00912E41"/>
    <w:rsid w:val="009139D5"/>
    <w:rsid w:val="00914197"/>
    <w:rsid w:val="00916094"/>
    <w:rsid w:val="009230C0"/>
    <w:rsid w:val="0092381E"/>
    <w:rsid w:val="009246CD"/>
    <w:rsid w:val="00924F40"/>
    <w:rsid w:val="009257CB"/>
    <w:rsid w:val="009265AB"/>
    <w:rsid w:val="0092726B"/>
    <w:rsid w:val="00927826"/>
    <w:rsid w:val="00927849"/>
    <w:rsid w:val="00927F70"/>
    <w:rsid w:val="0093092F"/>
    <w:rsid w:val="0093238F"/>
    <w:rsid w:val="00934821"/>
    <w:rsid w:val="00936CB7"/>
    <w:rsid w:val="00937B7A"/>
    <w:rsid w:val="00942118"/>
    <w:rsid w:val="00944462"/>
    <w:rsid w:val="00944AF4"/>
    <w:rsid w:val="00946B60"/>
    <w:rsid w:val="00947928"/>
    <w:rsid w:val="00950CED"/>
    <w:rsid w:val="009536DC"/>
    <w:rsid w:val="00954857"/>
    <w:rsid w:val="00956AD3"/>
    <w:rsid w:val="0095795C"/>
    <w:rsid w:val="00957EEB"/>
    <w:rsid w:val="009600D9"/>
    <w:rsid w:val="00960424"/>
    <w:rsid w:val="00960D47"/>
    <w:rsid w:val="00961E51"/>
    <w:rsid w:val="009620A8"/>
    <w:rsid w:val="0096266B"/>
    <w:rsid w:val="0096374F"/>
    <w:rsid w:val="00963DF2"/>
    <w:rsid w:val="00965EF5"/>
    <w:rsid w:val="009665B8"/>
    <w:rsid w:val="00967C20"/>
    <w:rsid w:val="0097122E"/>
    <w:rsid w:val="0097178D"/>
    <w:rsid w:val="009723BA"/>
    <w:rsid w:val="00972508"/>
    <w:rsid w:val="00973421"/>
    <w:rsid w:val="0097344A"/>
    <w:rsid w:val="00973826"/>
    <w:rsid w:val="00976ACE"/>
    <w:rsid w:val="00977E72"/>
    <w:rsid w:val="00980360"/>
    <w:rsid w:val="00985471"/>
    <w:rsid w:val="009856AF"/>
    <w:rsid w:val="00992552"/>
    <w:rsid w:val="009948FB"/>
    <w:rsid w:val="00994E09"/>
    <w:rsid w:val="009978B9"/>
    <w:rsid w:val="00997A12"/>
    <w:rsid w:val="009A0882"/>
    <w:rsid w:val="009A0CA4"/>
    <w:rsid w:val="009A3F5D"/>
    <w:rsid w:val="009A4D55"/>
    <w:rsid w:val="009A7CDD"/>
    <w:rsid w:val="009B610A"/>
    <w:rsid w:val="009B6C9E"/>
    <w:rsid w:val="009B799F"/>
    <w:rsid w:val="009B7AF3"/>
    <w:rsid w:val="009C0FB3"/>
    <w:rsid w:val="009C1B7D"/>
    <w:rsid w:val="009C22F9"/>
    <w:rsid w:val="009C2A6A"/>
    <w:rsid w:val="009C34E2"/>
    <w:rsid w:val="009C3C47"/>
    <w:rsid w:val="009C46F6"/>
    <w:rsid w:val="009C4C6B"/>
    <w:rsid w:val="009C4DD3"/>
    <w:rsid w:val="009C6070"/>
    <w:rsid w:val="009C65EB"/>
    <w:rsid w:val="009C669C"/>
    <w:rsid w:val="009D0BB2"/>
    <w:rsid w:val="009D3BE1"/>
    <w:rsid w:val="009D427B"/>
    <w:rsid w:val="009D54AE"/>
    <w:rsid w:val="009E036C"/>
    <w:rsid w:val="009E2668"/>
    <w:rsid w:val="009E3227"/>
    <w:rsid w:val="009E3C21"/>
    <w:rsid w:val="009E4317"/>
    <w:rsid w:val="009E5C2C"/>
    <w:rsid w:val="009E6F6E"/>
    <w:rsid w:val="009F15C4"/>
    <w:rsid w:val="009F1E02"/>
    <w:rsid w:val="009F2226"/>
    <w:rsid w:val="009F26B3"/>
    <w:rsid w:val="009F329D"/>
    <w:rsid w:val="009F441B"/>
    <w:rsid w:val="009F4466"/>
    <w:rsid w:val="009F58D4"/>
    <w:rsid w:val="009F7181"/>
    <w:rsid w:val="00A02504"/>
    <w:rsid w:val="00A03819"/>
    <w:rsid w:val="00A03AD0"/>
    <w:rsid w:val="00A053CF"/>
    <w:rsid w:val="00A05752"/>
    <w:rsid w:val="00A06EE5"/>
    <w:rsid w:val="00A07090"/>
    <w:rsid w:val="00A070D7"/>
    <w:rsid w:val="00A0724A"/>
    <w:rsid w:val="00A10DA6"/>
    <w:rsid w:val="00A112A6"/>
    <w:rsid w:val="00A13601"/>
    <w:rsid w:val="00A149A3"/>
    <w:rsid w:val="00A153DC"/>
    <w:rsid w:val="00A16C9E"/>
    <w:rsid w:val="00A1747A"/>
    <w:rsid w:val="00A2080E"/>
    <w:rsid w:val="00A21B80"/>
    <w:rsid w:val="00A22C16"/>
    <w:rsid w:val="00A22C61"/>
    <w:rsid w:val="00A23E5E"/>
    <w:rsid w:val="00A246B9"/>
    <w:rsid w:val="00A26D50"/>
    <w:rsid w:val="00A3124B"/>
    <w:rsid w:val="00A31ACF"/>
    <w:rsid w:val="00A34C3B"/>
    <w:rsid w:val="00A34E6E"/>
    <w:rsid w:val="00A37108"/>
    <w:rsid w:val="00A37E00"/>
    <w:rsid w:val="00A404B3"/>
    <w:rsid w:val="00A41AB1"/>
    <w:rsid w:val="00A41CA5"/>
    <w:rsid w:val="00A423AB"/>
    <w:rsid w:val="00A43C58"/>
    <w:rsid w:val="00A43EC9"/>
    <w:rsid w:val="00A44308"/>
    <w:rsid w:val="00A44769"/>
    <w:rsid w:val="00A44947"/>
    <w:rsid w:val="00A47AFB"/>
    <w:rsid w:val="00A51A0D"/>
    <w:rsid w:val="00A526BC"/>
    <w:rsid w:val="00A52EF0"/>
    <w:rsid w:val="00A5680E"/>
    <w:rsid w:val="00A63179"/>
    <w:rsid w:val="00A64E94"/>
    <w:rsid w:val="00A651E7"/>
    <w:rsid w:val="00A6774C"/>
    <w:rsid w:val="00A70F1E"/>
    <w:rsid w:val="00A71EDE"/>
    <w:rsid w:val="00A728E9"/>
    <w:rsid w:val="00A74F41"/>
    <w:rsid w:val="00A806DE"/>
    <w:rsid w:val="00A81068"/>
    <w:rsid w:val="00A81BD5"/>
    <w:rsid w:val="00A821DA"/>
    <w:rsid w:val="00A85575"/>
    <w:rsid w:val="00A875CB"/>
    <w:rsid w:val="00A90784"/>
    <w:rsid w:val="00A90EAE"/>
    <w:rsid w:val="00A9197D"/>
    <w:rsid w:val="00A92BCB"/>
    <w:rsid w:val="00A934B5"/>
    <w:rsid w:val="00A9377D"/>
    <w:rsid w:val="00A94E8C"/>
    <w:rsid w:val="00A96E2F"/>
    <w:rsid w:val="00AA1551"/>
    <w:rsid w:val="00AA193C"/>
    <w:rsid w:val="00AA1E7B"/>
    <w:rsid w:val="00AA22A9"/>
    <w:rsid w:val="00AB5F90"/>
    <w:rsid w:val="00AC18A2"/>
    <w:rsid w:val="00AC5857"/>
    <w:rsid w:val="00AC6ADF"/>
    <w:rsid w:val="00AD011D"/>
    <w:rsid w:val="00AD0863"/>
    <w:rsid w:val="00AD14FB"/>
    <w:rsid w:val="00AD1ABE"/>
    <w:rsid w:val="00AD1B67"/>
    <w:rsid w:val="00AD2FE5"/>
    <w:rsid w:val="00AD3016"/>
    <w:rsid w:val="00AD35AC"/>
    <w:rsid w:val="00AD5314"/>
    <w:rsid w:val="00AD62B5"/>
    <w:rsid w:val="00AD741C"/>
    <w:rsid w:val="00AE143E"/>
    <w:rsid w:val="00AE144E"/>
    <w:rsid w:val="00AE1C1D"/>
    <w:rsid w:val="00AE487D"/>
    <w:rsid w:val="00AE49F7"/>
    <w:rsid w:val="00AE57C1"/>
    <w:rsid w:val="00AE5C58"/>
    <w:rsid w:val="00AE6661"/>
    <w:rsid w:val="00AE69A0"/>
    <w:rsid w:val="00AF06A3"/>
    <w:rsid w:val="00AF111B"/>
    <w:rsid w:val="00AF1632"/>
    <w:rsid w:val="00AF226A"/>
    <w:rsid w:val="00AF3128"/>
    <w:rsid w:val="00AF3347"/>
    <w:rsid w:val="00AF4552"/>
    <w:rsid w:val="00AF54DB"/>
    <w:rsid w:val="00B00218"/>
    <w:rsid w:val="00B00493"/>
    <w:rsid w:val="00B00A1E"/>
    <w:rsid w:val="00B023B9"/>
    <w:rsid w:val="00B02E50"/>
    <w:rsid w:val="00B038F1"/>
    <w:rsid w:val="00B03B1B"/>
    <w:rsid w:val="00B0771D"/>
    <w:rsid w:val="00B1055C"/>
    <w:rsid w:val="00B11B68"/>
    <w:rsid w:val="00B12809"/>
    <w:rsid w:val="00B1319E"/>
    <w:rsid w:val="00B13749"/>
    <w:rsid w:val="00B15028"/>
    <w:rsid w:val="00B158C0"/>
    <w:rsid w:val="00B15B1C"/>
    <w:rsid w:val="00B22750"/>
    <w:rsid w:val="00B2296D"/>
    <w:rsid w:val="00B23378"/>
    <w:rsid w:val="00B237A1"/>
    <w:rsid w:val="00B2659E"/>
    <w:rsid w:val="00B27481"/>
    <w:rsid w:val="00B31378"/>
    <w:rsid w:val="00B31426"/>
    <w:rsid w:val="00B319C9"/>
    <w:rsid w:val="00B3514F"/>
    <w:rsid w:val="00B36DE5"/>
    <w:rsid w:val="00B37D70"/>
    <w:rsid w:val="00B40AD2"/>
    <w:rsid w:val="00B420BF"/>
    <w:rsid w:val="00B452D1"/>
    <w:rsid w:val="00B46435"/>
    <w:rsid w:val="00B46868"/>
    <w:rsid w:val="00B47164"/>
    <w:rsid w:val="00B5042F"/>
    <w:rsid w:val="00B50BA2"/>
    <w:rsid w:val="00B52853"/>
    <w:rsid w:val="00B52D11"/>
    <w:rsid w:val="00B54692"/>
    <w:rsid w:val="00B54BC6"/>
    <w:rsid w:val="00B563F4"/>
    <w:rsid w:val="00B56B27"/>
    <w:rsid w:val="00B57692"/>
    <w:rsid w:val="00B577DD"/>
    <w:rsid w:val="00B6061F"/>
    <w:rsid w:val="00B61204"/>
    <w:rsid w:val="00B61C53"/>
    <w:rsid w:val="00B6281B"/>
    <w:rsid w:val="00B6453E"/>
    <w:rsid w:val="00B64BF7"/>
    <w:rsid w:val="00B65BE3"/>
    <w:rsid w:val="00B66126"/>
    <w:rsid w:val="00B666F8"/>
    <w:rsid w:val="00B67CA7"/>
    <w:rsid w:val="00B7086C"/>
    <w:rsid w:val="00B7183C"/>
    <w:rsid w:val="00B71FC6"/>
    <w:rsid w:val="00B74805"/>
    <w:rsid w:val="00B75880"/>
    <w:rsid w:val="00B75AD8"/>
    <w:rsid w:val="00B76028"/>
    <w:rsid w:val="00B80D90"/>
    <w:rsid w:val="00B80E2F"/>
    <w:rsid w:val="00B811A7"/>
    <w:rsid w:val="00B81D73"/>
    <w:rsid w:val="00B81EF7"/>
    <w:rsid w:val="00B8410F"/>
    <w:rsid w:val="00B842F6"/>
    <w:rsid w:val="00B85B04"/>
    <w:rsid w:val="00B86CC2"/>
    <w:rsid w:val="00B87C95"/>
    <w:rsid w:val="00B9071B"/>
    <w:rsid w:val="00B91B3C"/>
    <w:rsid w:val="00B91F3A"/>
    <w:rsid w:val="00B91F4D"/>
    <w:rsid w:val="00B928BC"/>
    <w:rsid w:val="00B92F8B"/>
    <w:rsid w:val="00B935B6"/>
    <w:rsid w:val="00B94365"/>
    <w:rsid w:val="00B94FBF"/>
    <w:rsid w:val="00B96FFB"/>
    <w:rsid w:val="00B97842"/>
    <w:rsid w:val="00B97ED3"/>
    <w:rsid w:val="00BA02E7"/>
    <w:rsid w:val="00BA1181"/>
    <w:rsid w:val="00BA1B6A"/>
    <w:rsid w:val="00BA1FB4"/>
    <w:rsid w:val="00BA2409"/>
    <w:rsid w:val="00BA2A3B"/>
    <w:rsid w:val="00BA2B9F"/>
    <w:rsid w:val="00BA5D38"/>
    <w:rsid w:val="00BA5F5B"/>
    <w:rsid w:val="00BA7247"/>
    <w:rsid w:val="00BA78B3"/>
    <w:rsid w:val="00BB078F"/>
    <w:rsid w:val="00BB172B"/>
    <w:rsid w:val="00BB1F6F"/>
    <w:rsid w:val="00BB29C3"/>
    <w:rsid w:val="00BB5743"/>
    <w:rsid w:val="00BB74FD"/>
    <w:rsid w:val="00BB7A08"/>
    <w:rsid w:val="00BC14BB"/>
    <w:rsid w:val="00BC1C56"/>
    <w:rsid w:val="00BC364B"/>
    <w:rsid w:val="00BC558E"/>
    <w:rsid w:val="00BC6255"/>
    <w:rsid w:val="00BC643C"/>
    <w:rsid w:val="00BC6573"/>
    <w:rsid w:val="00BD1DEE"/>
    <w:rsid w:val="00BD535E"/>
    <w:rsid w:val="00BD5CC0"/>
    <w:rsid w:val="00BD6C4F"/>
    <w:rsid w:val="00BD76F6"/>
    <w:rsid w:val="00BD7954"/>
    <w:rsid w:val="00BD7C26"/>
    <w:rsid w:val="00BE05E1"/>
    <w:rsid w:val="00BE0C33"/>
    <w:rsid w:val="00BE2269"/>
    <w:rsid w:val="00BE234D"/>
    <w:rsid w:val="00BE6E24"/>
    <w:rsid w:val="00BF1D1D"/>
    <w:rsid w:val="00BF4CB7"/>
    <w:rsid w:val="00BF4CB9"/>
    <w:rsid w:val="00BF51DB"/>
    <w:rsid w:val="00BF5A51"/>
    <w:rsid w:val="00BF5DC5"/>
    <w:rsid w:val="00BF7ABA"/>
    <w:rsid w:val="00C023CB"/>
    <w:rsid w:val="00C03025"/>
    <w:rsid w:val="00C03AFF"/>
    <w:rsid w:val="00C0402E"/>
    <w:rsid w:val="00C051F7"/>
    <w:rsid w:val="00C10063"/>
    <w:rsid w:val="00C10251"/>
    <w:rsid w:val="00C10FD7"/>
    <w:rsid w:val="00C1109A"/>
    <w:rsid w:val="00C110EE"/>
    <w:rsid w:val="00C11781"/>
    <w:rsid w:val="00C126D4"/>
    <w:rsid w:val="00C13689"/>
    <w:rsid w:val="00C148C0"/>
    <w:rsid w:val="00C14CB4"/>
    <w:rsid w:val="00C14EC9"/>
    <w:rsid w:val="00C1527A"/>
    <w:rsid w:val="00C15691"/>
    <w:rsid w:val="00C158D0"/>
    <w:rsid w:val="00C15D67"/>
    <w:rsid w:val="00C1647D"/>
    <w:rsid w:val="00C16D6A"/>
    <w:rsid w:val="00C21332"/>
    <w:rsid w:val="00C21AB0"/>
    <w:rsid w:val="00C22563"/>
    <w:rsid w:val="00C22BF5"/>
    <w:rsid w:val="00C235C4"/>
    <w:rsid w:val="00C23CCA"/>
    <w:rsid w:val="00C24287"/>
    <w:rsid w:val="00C26058"/>
    <w:rsid w:val="00C262BC"/>
    <w:rsid w:val="00C300C1"/>
    <w:rsid w:val="00C323D2"/>
    <w:rsid w:val="00C3300F"/>
    <w:rsid w:val="00C344E6"/>
    <w:rsid w:val="00C34CFF"/>
    <w:rsid w:val="00C34D45"/>
    <w:rsid w:val="00C35F60"/>
    <w:rsid w:val="00C37C2B"/>
    <w:rsid w:val="00C37C5D"/>
    <w:rsid w:val="00C402B8"/>
    <w:rsid w:val="00C442A2"/>
    <w:rsid w:val="00C45D44"/>
    <w:rsid w:val="00C51E19"/>
    <w:rsid w:val="00C52761"/>
    <w:rsid w:val="00C5386F"/>
    <w:rsid w:val="00C550F2"/>
    <w:rsid w:val="00C569E5"/>
    <w:rsid w:val="00C60815"/>
    <w:rsid w:val="00C61C44"/>
    <w:rsid w:val="00C62287"/>
    <w:rsid w:val="00C62933"/>
    <w:rsid w:val="00C6648A"/>
    <w:rsid w:val="00C6650A"/>
    <w:rsid w:val="00C70775"/>
    <w:rsid w:val="00C71051"/>
    <w:rsid w:val="00C72B9F"/>
    <w:rsid w:val="00C73E1A"/>
    <w:rsid w:val="00C74531"/>
    <w:rsid w:val="00C751C1"/>
    <w:rsid w:val="00C803D0"/>
    <w:rsid w:val="00C805F1"/>
    <w:rsid w:val="00C8068D"/>
    <w:rsid w:val="00C824C5"/>
    <w:rsid w:val="00C8303D"/>
    <w:rsid w:val="00C876AC"/>
    <w:rsid w:val="00C906E0"/>
    <w:rsid w:val="00C9125D"/>
    <w:rsid w:val="00C9205D"/>
    <w:rsid w:val="00C92401"/>
    <w:rsid w:val="00C9581B"/>
    <w:rsid w:val="00CA0F20"/>
    <w:rsid w:val="00CA1045"/>
    <w:rsid w:val="00CA10FD"/>
    <w:rsid w:val="00CA2F8D"/>
    <w:rsid w:val="00CA50F6"/>
    <w:rsid w:val="00CA6CEC"/>
    <w:rsid w:val="00CA7F8A"/>
    <w:rsid w:val="00CB4B82"/>
    <w:rsid w:val="00CB527F"/>
    <w:rsid w:val="00CB5D1E"/>
    <w:rsid w:val="00CB5E9D"/>
    <w:rsid w:val="00CB7979"/>
    <w:rsid w:val="00CC0103"/>
    <w:rsid w:val="00CC03B9"/>
    <w:rsid w:val="00CC09EC"/>
    <w:rsid w:val="00CC16EC"/>
    <w:rsid w:val="00CC2345"/>
    <w:rsid w:val="00CC54CF"/>
    <w:rsid w:val="00CC61B7"/>
    <w:rsid w:val="00CC7128"/>
    <w:rsid w:val="00CC7271"/>
    <w:rsid w:val="00CC737E"/>
    <w:rsid w:val="00CC7D90"/>
    <w:rsid w:val="00CD0780"/>
    <w:rsid w:val="00CD13D6"/>
    <w:rsid w:val="00CD1743"/>
    <w:rsid w:val="00CD1D83"/>
    <w:rsid w:val="00CD1EAC"/>
    <w:rsid w:val="00CD3688"/>
    <w:rsid w:val="00CD42D9"/>
    <w:rsid w:val="00CD5AA1"/>
    <w:rsid w:val="00CE2392"/>
    <w:rsid w:val="00CE55AB"/>
    <w:rsid w:val="00CE62BE"/>
    <w:rsid w:val="00CE6B15"/>
    <w:rsid w:val="00CE79BB"/>
    <w:rsid w:val="00CF07E4"/>
    <w:rsid w:val="00CF1455"/>
    <w:rsid w:val="00CF48B0"/>
    <w:rsid w:val="00CF505B"/>
    <w:rsid w:val="00CF5C80"/>
    <w:rsid w:val="00CF6EAC"/>
    <w:rsid w:val="00CF7A66"/>
    <w:rsid w:val="00CF7CC3"/>
    <w:rsid w:val="00D0006C"/>
    <w:rsid w:val="00D00142"/>
    <w:rsid w:val="00D04493"/>
    <w:rsid w:val="00D04642"/>
    <w:rsid w:val="00D04854"/>
    <w:rsid w:val="00D0486D"/>
    <w:rsid w:val="00D04F58"/>
    <w:rsid w:val="00D06272"/>
    <w:rsid w:val="00D1036B"/>
    <w:rsid w:val="00D1200C"/>
    <w:rsid w:val="00D1245C"/>
    <w:rsid w:val="00D1325C"/>
    <w:rsid w:val="00D136E4"/>
    <w:rsid w:val="00D137E4"/>
    <w:rsid w:val="00D15053"/>
    <w:rsid w:val="00D1540A"/>
    <w:rsid w:val="00D164B6"/>
    <w:rsid w:val="00D179F9"/>
    <w:rsid w:val="00D20414"/>
    <w:rsid w:val="00D2132F"/>
    <w:rsid w:val="00D21E3C"/>
    <w:rsid w:val="00D2613C"/>
    <w:rsid w:val="00D30197"/>
    <w:rsid w:val="00D30240"/>
    <w:rsid w:val="00D304BF"/>
    <w:rsid w:val="00D325BA"/>
    <w:rsid w:val="00D344BA"/>
    <w:rsid w:val="00D351F2"/>
    <w:rsid w:val="00D35DA6"/>
    <w:rsid w:val="00D37C44"/>
    <w:rsid w:val="00D4141F"/>
    <w:rsid w:val="00D42130"/>
    <w:rsid w:val="00D42FB4"/>
    <w:rsid w:val="00D44CC9"/>
    <w:rsid w:val="00D4543F"/>
    <w:rsid w:val="00D4568D"/>
    <w:rsid w:val="00D4593B"/>
    <w:rsid w:val="00D46145"/>
    <w:rsid w:val="00D46CAB"/>
    <w:rsid w:val="00D470AB"/>
    <w:rsid w:val="00D4728D"/>
    <w:rsid w:val="00D47EB8"/>
    <w:rsid w:val="00D54AB6"/>
    <w:rsid w:val="00D54F5F"/>
    <w:rsid w:val="00D558BF"/>
    <w:rsid w:val="00D561F7"/>
    <w:rsid w:val="00D570E1"/>
    <w:rsid w:val="00D575C3"/>
    <w:rsid w:val="00D5795C"/>
    <w:rsid w:val="00D60524"/>
    <w:rsid w:val="00D610F6"/>
    <w:rsid w:val="00D611F7"/>
    <w:rsid w:val="00D627C6"/>
    <w:rsid w:val="00D63876"/>
    <w:rsid w:val="00D64D3B"/>
    <w:rsid w:val="00D65D0F"/>
    <w:rsid w:val="00D66957"/>
    <w:rsid w:val="00D7005B"/>
    <w:rsid w:val="00D76B78"/>
    <w:rsid w:val="00D76D4C"/>
    <w:rsid w:val="00D77CBF"/>
    <w:rsid w:val="00D810D6"/>
    <w:rsid w:val="00D81B3C"/>
    <w:rsid w:val="00D83ECC"/>
    <w:rsid w:val="00D848C6"/>
    <w:rsid w:val="00D8583B"/>
    <w:rsid w:val="00D874AF"/>
    <w:rsid w:val="00D90F27"/>
    <w:rsid w:val="00D91F90"/>
    <w:rsid w:val="00D92144"/>
    <w:rsid w:val="00D922E9"/>
    <w:rsid w:val="00D92BA6"/>
    <w:rsid w:val="00D93096"/>
    <w:rsid w:val="00D93295"/>
    <w:rsid w:val="00D93459"/>
    <w:rsid w:val="00D938F2"/>
    <w:rsid w:val="00D94640"/>
    <w:rsid w:val="00D9622B"/>
    <w:rsid w:val="00D96702"/>
    <w:rsid w:val="00D9771F"/>
    <w:rsid w:val="00D978E4"/>
    <w:rsid w:val="00D97F29"/>
    <w:rsid w:val="00DA32A2"/>
    <w:rsid w:val="00DA37FF"/>
    <w:rsid w:val="00DA5D94"/>
    <w:rsid w:val="00DA6062"/>
    <w:rsid w:val="00DA65F8"/>
    <w:rsid w:val="00DB164E"/>
    <w:rsid w:val="00DB33DA"/>
    <w:rsid w:val="00DB39B1"/>
    <w:rsid w:val="00DB4038"/>
    <w:rsid w:val="00DB4478"/>
    <w:rsid w:val="00DB52EE"/>
    <w:rsid w:val="00DB58C3"/>
    <w:rsid w:val="00DB5F0F"/>
    <w:rsid w:val="00DB6AB3"/>
    <w:rsid w:val="00DB744E"/>
    <w:rsid w:val="00DC07F1"/>
    <w:rsid w:val="00DC243C"/>
    <w:rsid w:val="00DC264A"/>
    <w:rsid w:val="00DC5BEF"/>
    <w:rsid w:val="00DC6FF2"/>
    <w:rsid w:val="00DD0E9D"/>
    <w:rsid w:val="00DD1C61"/>
    <w:rsid w:val="00DD408A"/>
    <w:rsid w:val="00DD5FBB"/>
    <w:rsid w:val="00DD5FE9"/>
    <w:rsid w:val="00DD71AE"/>
    <w:rsid w:val="00DE1F61"/>
    <w:rsid w:val="00DE20D5"/>
    <w:rsid w:val="00DE292E"/>
    <w:rsid w:val="00DE3937"/>
    <w:rsid w:val="00DE44F2"/>
    <w:rsid w:val="00DE60CA"/>
    <w:rsid w:val="00DE6194"/>
    <w:rsid w:val="00DF0239"/>
    <w:rsid w:val="00DF1BFB"/>
    <w:rsid w:val="00DF2697"/>
    <w:rsid w:val="00DF2D26"/>
    <w:rsid w:val="00DF451A"/>
    <w:rsid w:val="00DF48B8"/>
    <w:rsid w:val="00DF4CC6"/>
    <w:rsid w:val="00DF5AD3"/>
    <w:rsid w:val="00DF63F0"/>
    <w:rsid w:val="00DF76B8"/>
    <w:rsid w:val="00E00BAA"/>
    <w:rsid w:val="00E00E22"/>
    <w:rsid w:val="00E0134B"/>
    <w:rsid w:val="00E03247"/>
    <w:rsid w:val="00E03BFE"/>
    <w:rsid w:val="00E05AA4"/>
    <w:rsid w:val="00E07643"/>
    <w:rsid w:val="00E1065E"/>
    <w:rsid w:val="00E110BF"/>
    <w:rsid w:val="00E117B3"/>
    <w:rsid w:val="00E13624"/>
    <w:rsid w:val="00E1453A"/>
    <w:rsid w:val="00E15F69"/>
    <w:rsid w:val="00E16C3B"/>
    <w:rsid w:val="00E20564"/>
    <w:rsid w:val="00E24BBA"/>
    <w:rsid w:val="00E25E20"/>
    <w:rsid w:val="00E30059"/>
    <w:rsid w:val="00E325AC"/>
    <w:rsid w:val="00E32AF0"/>
    <w:rsid w:val="00E32D46"/>
    <w:rsid w:val="00E33696"/>
    <w:rsid w:val="00E33BAA"/>
    <w:rsid w:val="00E349C2"/>
    <w:rsid w:val="00E349EA"/>
    <w:rsid w:val="00E3558F"/>
    <w:rsid w:val="00E40DA8"/>
    <w:rsid w:val="00E42DCB"/>
    <w:rsid w:val="00E45F7B"/>
    <w:rsid w:val="00E4726E"/>
    <w:rsid w:val="00E50992"/>
    <w:rsid w:val="00E52BCA"/>
    <w:rsid w:val="00E53CAD"/>
    <w:rsid w:val="00E5427D"/>
    <w:rsid w:val="00E55F95"/>
    <w:rsid w:val="00E5615D"/>
    <w:rsid w:val="00E57708"/>
    <w:rsid w:val="00E60682"/>
    <w:rsid w:val="00E626DF"/>
    <w:rsid w:val="00E630C3"/>
    <w:rsid w:val="00E64263"/>
    <w:rsid w:val="00E65925"/>
    <w:rsid w:val="00E71A70"/>
    <w:rsid w:val="00E74465"/>
    <w:rsid w:val="00E767AF"/>
    <w:rsid w:val="00E768C6"/>
    <w:rsid w:val="00E816D3"/>
    <w:rsid w:val="00E82654"/>
    <w:rsid w:val="00E8297E"/>
    <w:rsid w:val="00E82C77"/>
    <w:rsid w:val="00E834AA"/>
    <w:rsid w:val="00E844DA"/>
    <w:rsid w:val="00E847C7"/>
    <w:rsid w:val="00E866BC"/>
    <w:rsid w:val="00E87A1C"/>
    <w:rsid w:val="00E92E0A"/>
    <w:rsid w:val="00E95FD8"/>
    <w:rsid w:val="00E962F3"/>
    <w:rsid w:val="00E964C3"/>
    <w:rsid w:val="00E97A8A"/>
    <w:rsid w:val="00EA16E8"/>
    <w:rsid w:val="00EA20D4"/>
    <w:rsid w:val="00EA265D"/>
    <w:rsid w:val="00EA2BC2"/>
    <w:rsid w:val="00EA31F1"/>
    <w:rsid w:val="00EA450B"/>
    <w:rsid w:val="00EA5C98"/>
    <w:rsid w:val="00EA73BD"/>
    <w:rsid w:val="00EB05A8"/>
    <w:rsid w:val="00EB0739"/>
    <w:rsid w:val="00EB1949"/>
    <w:rsid w:val="00EB3322"/>
    <w:rsid w:val="00EB4693"/>
    <w:rsid w:val="00EB4F1C"/>
    <w:rsid w:val="00EB61B0"/>
    <w:rsid w:val="00EB7CFA"/>
    <w:rsid w:val="00EB7D53"/>
    <w:rsid w:val="00EC112C"/>
    <w:rsid w:val="00EC11B9"/>
    <w:rsid w:val="00EC2089"/>
    <w:rsid w:val="00EC4B49"/>
    <w:rsid w:val="00EC4B4B"/>
    <w:rsid w:val="00EC4D14"/>
    <w:rsid w:val="00EC6315"/>
    <w:rsid w:val="00EC6686"/>
    <w:rsid w:val="00EC7EBF"/>
    <w:rsid w:val="00ED1CDC"/>
    <w:rsid w:val="00ED1E8B"/>
    <w:rsid w:val="00ED3B34"/>
    <w:rsid w:val="00ED6106"/>
    <w:rsid w:val="00ED7D8E"/>
    <w:rsid w:val="00ED7DDE"/>
    <w:rsid w:val="00EE05A4"/>
    <w:rsid w:val="00EE0B3A"/>
    <w:rsid w:val="00EE10B9"/>
    <w:rsid w:val="00EE1A9B"/>
    <w:rsid w:val="00EE20D6"/>
    <w:rsid w:val="00EE41C0"/>
    <w:rsid w:val="00EE44F0"/>
    <w:rsid w:val="00EE481B"/>
    <w:rsid w:val="00EE6410"/>
    <w:rsid w:val="00EE6957"/>
    <w:rsid w:val="00EF076C"/>
    <w:rsid w:val="00EF09A6"/>
    <w:rsid w:val="00EF1966"/>
    <w:rsid w:val="00EF2000"/>
    <w:rsid w:val="00EF4245"/>
    <w:rsid w:val="00EF43F6"/>
    <w:rsid w:val="00EF4AEE"/>
    <w:rsid w:val="00F004F0"/>
    <w:rsid w:val="00F02979"/>
    <w:rsid w:val="00F03876"/>
    <w:rsid w:val="00F03A17"/>
    <w:rsid w:val="00F051FA"/>
    <w:rsid w:val="00F052DA"/>
    <w:rsid w:val="00F053E1"/>
    <w:rsid w:val="00F05F32"/>
    <w:rsid w:val="00F07988"/>
    <w:rsid w:val="00F12B5A"/>
    <w:rsid w:val="00F1326F"/>
    <w:rsid w:val="00F155BA"/>
    <w:rsid w:val="00F1607E"/>
    <w:rsid w:val="00F1737B"/>
    <w:rsid w:val="00F17E38"/>
    <w:rsid w:val="00F205A6"/>
    <w:rsid w:val="00F20755"/>
    <w:rsid w:val="00F20F26"/>
    <w:rsid w:val="00F215F7"/>
    <w:rsid w:val="00F22357"/>
    <w:rsid w:val="00F2443F"/>
    <w:rsid w:val="00F24B3B"/>
    <w:rsid w:val="00F263A9"/>
    <w:rsid w:val="00F2699C"/>
    <w:rsid w:val="00F26A02"/>
    <w:rsid w:val="00F26AFE"/>
    <w:rsid w:val="00F26DE9"/>
    <w:rsid w:val="00F27DBF"/>
    <w:rsid w:val="00F30CC5"/>
    <w:rsid w:val="00F3231B"/>
    <w:rsid w:val="00F32503"/>
    <w:rsid w:val="00F32E2C"/>
    <w:rsid w:val="00F33E25"/>
    <w:rsid w:val="00F34407"/>
    <w:rsid w:val="00F34D81"/>
    <w:rsid w:val="00F34F6A"/>
    <w:rsid w:val="00F36D80"/>
    <w:rsid w:val="00F40958"/>
    <w:rsid w:val="00F41832"/>
    <w:rsid w:val="00F42B1A"/>
    <w:rsid w:val="00F43CE3"/>
    <w:rsid w:val="00F46810"/>
    <w:rsid w:val="00F5130E"/>
    <w:rsid w:val="00F5156E"/>
    <w:rsid w:val="00F53506"/>
    <w:rsid w:val="00F548AA"/>
    <w:rsid w:val="00F56A71"/>
    <w:rsid w:val="00F57574"/>
    <w:rsid w:val="00F57AE4"/>
    <w:rsid w:val="00F61734"/>
    <w:rsid w:val="00F61EA9"/>
    <w:rsid w:val="00F6319B"/>
    <w:rsid w:val="00F6338D"/>
    <w:rsid w:val="00F64E56"/>
    <w:rsid w:val="00F64F82"/>
    <w:rsid w:val="00F65101"/>
    <w:rsid w:val="00F6614F"/>
    <w:rsid w:val="00F66635"/>
    <w:rsid w:val="00F6766C"/>
    <w:rsid w:val="00F701E2"/>
    <w:rsid w:val="00F703D2"/>
    <w:rsid w:val="00F73917"/>
    <w:rsid w:val="00F75E0A"/>
    <w:rsid w:val="00F76EF2"/>
    <w:rsid w:val="00F776C5"/>
    <w:rsid w:val="00F80161"/>
    <w:rsid w:val="00F801F2"/>
    <w:rsid w:val="00F8210D"/>
    <w:rsid w:val="00F82BDF"/>
    <w:rsid w:val="00F838A0"/>
    <w:rsid w:val="00F838AC"/>
    <w:rsid w:val="00F83B03"/>
    <w:rsid w:val="00F85D2D"/>
    <w:rsid w:val="00F85D8E"/>
    <w:rsid w:val="00F875EE"/>
    <w:rsid w:val="00F9046A"/>
    <w:rsid w:val="00F90B4D"/>
    <w:rsid w:val="00F9202B"/>
    <w:rsid w:val="00F926D0"/>
    <w:rsid w:val="00F937EE"/>
    <w:rsid w:val="00F947AB"/>
    <w:rsid w:val="00F95A97"/>
    <w:rsid w:val="00FA00CC"/>
    <w:rsid w:val="00FA1E90"/>
    <w:rsid w:val="00FA2869"/>
    <w:rsid w:val="00FA2DEA"/>
    <w:rsid w:val="00FA3320"/>
    <w:rsid w:val="00FA3CC6"/>
    <w:rsid w:val="00FA4F39"/>
    <w:rsid w:val="00FA5436"/>
    <w:rsid w:val="00FA62C4"/>
    <w:rsid w:val="00FA6B4F"/>
    <w:rsid w:val="00FB067A"/>
    <w:rsid w:val="00FB1C49"/>
    <w:rsid w:val="00FB1D2D"/>
    <w:rsid w:val="00FB2C88"/>
    <w:rsid w:val="00FB3820"/>
    <w:rsid w:val="00FB4780"/>
    <w:rsid w:val="00FB4F59"/>
    <w:rsid w:val="00FB50BB"/>
    <w:rsid w:val="00FB5147"/>
    <w:rsid w:val="00FB5535"/>
    <w:rsid w:val="00FB622E"/>
    <w:rsid w:val="00FB7161"/>
    <w:rsid w:val="00FC0015"/>
    <w:rsid w:val="00FC17BD"/>
    <w:rsid w:val="00FC1946"/>
    <w:rsid w:val="00FC1989"/>
    <w:rsid w:val="00FC3493"/>
    <w:rsid w:val="00FC6843"/>
    <w:rsid w:val="00FC70E1"/>
    <w:rsid w:val="00FC7CB5"/>
    <w:rsid w:val="00FD2A94"/>
    <w:rsid w:val="00FD304C"/>
    <w:rsid w:val="00FD330F"/>
    <w:rsid w:val="00FD51D7"/>
    <w:rsid w:val="00FD5670"/>
    <w:rsid w:val="00FE084D"/>
    <w:rsid w:val="00FE644E"/>
    <w:rsid w:val="00FE7DCA"/>
    <w:rsid w:val="00FF0E74"/>
    <w:rsid w:val="00FF2594"/>
    <w:rsid w:val="00FF3030"/>
    <w:rsid w:val="00FF3A6A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3B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right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jc w:val="both"/>
      <w:outlineLvl w:val="6"/>
    </w:pPr>
    <w:rPr>
      <w:b/>
      <w:sz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3Ementa">
    <w:name w:val="Legislação - 3Ementa"/>
    <w:basedOn w:val="Normal"/>
    <w:autoRedefine/>
    <w:pPr>
      <w:spacing w:before="120"/>
      <w:ind w:left="3960" w:firstLine="900"/>
      <w:jc w:val="both"/>
    </w:pPr>
    <w:rPr>
      <w:rFonts w:ascii="Arial" w:hAnsi="Arial"/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708" w:firstLine="708"/>
      <w:jc w:val="both"/>
    </w:pPr>
    <w:rPr>
      <w:sz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32"/>
      <w:u w:val="single"/>
    </w:rPr>
  </w:style>
  <w:style w:type="paragraph" w:customStyle="1" w:styleId="Ementa">
    <w:name w:val="Ementa"/>
    <w:basedOn w:val="Normal"/>
    <w:pPr>
      <w:overflowPunct w:val="0"/>
      <w:autoSpaceDE w:val="0"/>
      <w:autoSpaceDN w:val="0"/>
      <w:adjustRightInd w:val="0"/>
      <w:spacing w:before="360" w:after="360"/>
      <w:ind w:left="4253" w:firstLine="567"/>
      <w:jc w:val="both"/>
    </w:pPr>
    <w:rPr>
      <w:i/>
      <w:sz w:val="26"/>
    </w:rPr>
  </w:style>
  <w:style w:type="paragraph" w:styleId="Recuodecorpodetexto2">
    <w:name w:val="Body Text Indent 2"/>
    <w:basedOn w:val="Normal"/>
    <w:pPr>
      <w:ind w:left="851" w:firstLine="1273"/>
      <w:jc w:val="both"/>
    </w:pPr>
    <w:rPr>
      <w:sz w:val="24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</w:rPr>
  </w:style>
  <w:style w:type="paragraph" w:styleId="Textoembloco">
    <w:name w:val="Block Text"/>
    <w:basedOn w:val="Normal"/>
    <w:pPr>
      <w:ind w:left="3828" w:right="49"/>
      <w:jc w:val="both"/>
    </w:pPr>
    <w:rPr>
      <w:rFonts w:ascii="Courier New" w:hAnsi="Courier New"/>
      <w:b/>
      <w:sz w:val="30"/>
    </w:rPr>
  </w:style>
  <w:style w:type="paragraph" w:styleId="Recuonormal">
    <w:name w:val="Normal Indent"/>
    <w:basedOn w:val="Normal"/>
    <w:pPr>
      <w:ind w:left="708"/>
    </w:pPr>
  </w:style>
  <w:style w:type="paragraph" w:customStyle="1" w:styleId="OmniPage4">
    <w:name w:val="OmniPage #4"/>
    <w:basedOn w:val="Normal"/>
    <w:pPr>
      <w:spacing w:line="240" w:lineRule="exact"/>
    </w:pPr>
    <w:rPr>
      <w:lang w:val="en-US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RecuodecorpodetextoCourierNew">
    <w:name w:val="Recuo de corpo de texto + Courier New"/>
    <w:aliases w:val="15 pt,Não Negrito,À esquerda:  0 cm,..."/>
    <w:basedOn w:val="Normal"/>
    <w:pPr>
      <w:widowControl w:val="0"/>
      <w:spacing w:line="360" w:lineRule="auto"/>
      <w:ind w:firstLine="1134"/>
      <w:jc w:val="both"/>
    </w:pPr>
    <w:rPr>
      <w:rFonts w:ascii="Courier New" w:hAnsi="Courier New" w:cs="Tahoma"/>
      <w:b/>
      <w:snapToGrid w:val="0"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paragraph" w:customStyle="1" w:styleId="xl22">
    <w:name w:val="xl22"/>
    <w:basedOn w:val="Normal"/>
    <w:pPr>
      <w:autoSpaceDE w:val="0"/>
      <w:autoSpaceDN w:val="0"/>
      <w:spacing w:before="100" w:after="100"/>
      <w:jc w:val="both"/>
    </w:pPr>
    <w:rPr>
      <w:sz w:val="24"/>
      <w:szCs w:val="24"/>
    </w:rPr>
  </w:style>
  <w:style w:type="paragraph" w:customStyle="1" w:styleId="Epgrafe">
    <w:name w:val="_Epígrafe"/>
    <w:basedOn w:val="Normal"/>
    <w:rsid w:val="006A3906"/>
    <w:pPr>
      <w:spacing w:before="120"/>
      <w:jc w:val="center"/>
    </w:pPr>
    <w:rPr>
      <w:rFonts w:ascii="Tahoma" w:hAnsi="Tahoma" w:cs="Tahoma"/>
      <w:b/>
      <w:sz w:val="24"/>
      <w:szCs w:val="24"/>
    </w:rPr>
  </w:style>
  <w:style w:type="paragraph" w:customStyle="1" w:styleId="Ementa0">
    <w:name w:val="_Ementa"/>
    <w:basedOn w:val="Normal"/>
    <w:rsid w:val="006A3906"/>
    <w:pPr>
      <w:spacing w:before="120"/>
      <w:ind w:left="3969"/>
      <w:jc w:val="both"/>
    </w:pPr>
    <w:rPr>
      <w:rFonts w:ascii="Tahoma" w:hAnsi="Tahoma" w:cs="Tahoma"/>
      <w:b/>
      <w:sz w:val="24"/>
      <w:szCs w:val="24"/>
    </w:rPr>
  </w:style>
  <w:style w:type="table" w:styleId="Tabelacomgrade">
    <w:name w:val="Table Grid"/>
    <w:basedOn w:val="Tabelanormal"/>
    <w:uiPriority w:val="59"/>
    <w:rsid w:val="005B5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_Data"/>
    <w:basedOn w:val="Normal"/>
    <w:rsid w:val="00D2132F"/>
    <w:pPr>
      <w:spacing w:before="120"/>
      <w:jc w:val="center"/>
    </w:pPr>
    <w:rPr>
      <w:rFonts w:ascii="Tahoma" w:hAnsi="Tahoma" w:cs="Tahoma"/>
      <w:sz w:val="24"/>
      <w:szCs w:val="24"/>
    </w:rPr>
  </w:style>
  <w:style w:type="paragraph" w:customStyle="1" w:styleId="Data1">
    <w:name w:val="_Data1"/>
    <w:basedOn w:val="Normal"/>
    <w:rsid w:val="00D2132F"/>
    <w:pPr>
      <w:jc w:val="center"/>
    </w:pPr>
    <w:rPr>
      <w:rFonts w:ascii="Tahoma" w:hAnsi="Tahoma" w:cs="Tahom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236B5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character" w:customStyle="1" w:styleId="A11">
    <w:name w:val="A11"/>
    <w:uiPriority w:val="99"/>
    <w:rsid w:val="007A6C1B"/>
    <w:rPr>
      <w:strike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279C4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83283D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character" w:customStyle="1" w:styleId="A4">
    <w:name w:val="A4"/>
    <w:uiPriority w:val="99"/>
    <w:rsid w:val="0083283D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B935B6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F076C"/>
    <w:rPr>
      <w:rFonts w:ascii="Segoe UI" w:hAnsi="Segoe UI" w:cs="Segoe UI"/>
      <w:sz w:val="18"/>
      <w:szCs w:val="18"/>
    </w:rPr>
  </w:style>
  <w:style w:type="paragraph" w:customStyle="1" w:styleId="Nome">
    <w:name w:val="_Nome"/>
    <w:basedOn w:val="Normal"/>
    <w:rsid w:val="007008D7"/>
    <w:pPr>
      <w:jc w:val="center"/>
    </w:pPr>
    <w:rPr>
      <w:rFonts w:ascii="Tahoma" w:hAnsi="Tahoma" w:cs="Tahoma"/>
      <w:b/>
      <w:sz w:val="24"/>
      <w:szCs w:val="24"/>
    </w:rPr>
  </w:style>
  <w:style w:type="paragraph" w:customStyle="1" w:styleId="Cargo">
    <w:name w:val="_Cargo"/>
    <w:basedOn w:val="Normal"/>
    <w:rsid w:val="00BB078F"/>
    <w:pPr>
      <w:jc w:val="center"/>
    </w:pPr>
    <w:rPr>
      <w:rFonts w:ascii="Tahoma" w:hAnsi="Tahoma" w:cs="Tahoma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right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jc w:val="both"/>
      <w:outlineLvl w:val="6"/>
    </w:pPr>
    <w:rPr>
      <w:b/>
      <w:sz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3Ementa">
    <w:name w:val="Legislação - 3Ementa"/>
    <w:basedOn w:val="Normal"/>
    <w:autoRedefine/>
    <w:pPr>
      <w:spacing w:before="120"/>
      <w:ind w:left="3960" w:firstLine="900"/>
      <w:jc w:val="both"/>
    </w:pPr>
    <w:rPr>
      <w:rFonts w:ascii="Arial" w:hAnsi="Arial"/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708" w:firstLine="708"/>
      <w:jc w:val="both"/>
    </w:pPr>
    <w:rPr>
      <w:sz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32"/>
      <w:u w:val="single"/>
    </w:rPr>
  </w:style>
  <w:style w:type="paragraph" w:customStyle="1" w:styleId="Ementa">
    <w:name w:val="Ementa"/>
    <w:basedOn w:val="Normal"/>
    <w:pPr>
      <w:overflowPunct w:val="0"/>
      <w:autoSpaceDE w:val="0"/>
      <w:autoSpaceDN w:val="0"/>
      <w:adjustRightInd w:val="0"/>
      <w:spacing w:before="360" w:after="360"/>
      <w:ind w:left="4253" w:firstLine="567"/>
      <w:jc w:val="both"/>
    </w:pPr>
    <w:rPr>
      <w:i/>
      <w:sz w:val="26"/>
    </w:rPr>
  </w:style>
  <w:style w:type="paragraph" w:styleId="Recuodecorpodetexto2">
    <w:name w:val="Body Text Indent 2"/>
    <w:basedOn w:val="Normal"/>
    <w:pPr>
      <w:ind w:left="851" w:firstLine="1273"/>
      <w:jc w:val="both"/>
    </w:pPr>
    <w:rPr>
      <w:sz w:val="24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</w:rPr>
  </w:style>
  <w:style w:type="paragraph" w:styleId="Textoembloco">
    <w:name w:val="Block Text"/>
    <w:basedOn w:val="Normal"/>
    <w:pPr>
      <w:ind w:left="3828" w:right="49"/>
      <w:jc w:val="both"/>
    </w:pPr>
    <w:rPr>
      <w:rFonts w:ascii="Courier New" w:hAnsi="Courier New"/>
      <w:b/>
      <w:sz w:val="30"/>
    </w:rPr>
  </w:style>
  <w:style w:type="paragraph" w:styleId="Recuonormal">
    <w:name w:val="Normal Indent"/>
    <w:basedOn w:val="Normal"/>
    <w:pPr>
      <w:ind w:left="708"/>
    </w:pPr>
  </w:style>
  <w:style w:type="paragraph" w:customStyle="1" w:styleId="OmniPage4">
    <w:name w:val="OmniPage #4"/>
    <w:basedOn w:val="Normal"/>
    <w:pPr>
      <w:spacing w:line="240" w:lineRule="exact"/>
    </w:pPr>
    <w:rPr>
      <w:lang w:val="en-US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RecuodecorpodetextoCourierNew">
    <w:name w:val="Recuo de corpo de texto + Courier New"/>
    <w:aliases w:val="15 pt,Não Negrito,À esquerda:  0 cm,..."/>
    <w:basedOn w:val="Normal"/>
    <w:pPr>
      <w:widowControl w:val="0"/>
      <w:spacing w:line="360" w:lineRule="auto"/>
      <w:ind w:firstLine="1134"/>
      <w:jc w:val="both"/>
    </w:pPr>
    <w:rPr>
      <w:rFonts w:ascii="Courier New" w:hAnsi="Courier New" w:cs="Tahoma"/>
      <w:b/>
      <w:snapToGrid w:val="0"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paragraph" w:customStyle="1" w:styleId="xl22">
    <w:name w:val="xl22"/>
    <w:basedOn w:val="Normal"/>
    <w:pPr>
      <w:autoSpaceDE w:val="0"/>
      <w:autoSpaceDN w:val="0"/>
      <w:spacing w:before="100" w:after="100"/>
      <w:jc w:val="both"/>
    </w:pPr>
    <w:rPr>
      <w:sz w:val="24"/>
      <w:szCs w:val="24"/>
    </w:rPr>
  </w:style>
  <w:style w:type="paragraph" w:customStyle="1" w:styleId="Epgrafe">
    <w:name w:val="_Epígrafe"/>
    <w:basedOn w:val="Normal"/>
    <w:rsid w:val="006A3906"/>
    <w:pPr>
      <w:spacing w:before="120"/>
      <w:jc w:val="center"/>
    </w:pPr>
    <w:rPr>
      <w:rFonts w:ascii="Tahoma" w:hAnsi="Tahoma" w:cs="Tahoma"/>
      <w:b/>
      <w:sz w:val="24"/>
      <w:szCs w:val="24"/>
    </w:rPr>
  </w:style>
  <w:style w:type="paragraph" w:customStyle="1" w:styleId="Ementa0">
    <w:name w:val="_Ementa"/>
    <w:basedOn w:val="Normal"/>
    <w:rsid w:val="006A3906"/>
    <w:pPr>
      <w:spacing w:before="120"/>
      <w:ind w:left="3969"/>
      <w:jc w:val="both"/>
    </w:pPr>
    <w:rPr>
      <w:rFonts w:ascii="Tahoma" w:hAnsi="Tahoma" w:cs="Tahoma"/>
      <w:b/>
      <w:sz w:val="24"/>
      <w:szCs w:val="24"/>
    </w:rPr>
  </w:style>
  <w:style w:type="table" w:styleId="Tabelacomgrade">
    <w:name w:val="Table Grid"/>
    <w:basedOn w:val="Tabelanormal"/>
    <w:uiPriority w:val="59"/>
    <w:rsid w:val="005B5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_Data"/>
    <w:basedOn w:val="Normal"/>
    <w:rsid w:val="00D2132F"/>
    <w:pPr>
      <w:spacing w:before="120"/>
      <w:jc w:val="center"/>
    </w:pPr>
    <w:rPr>
      <w:rFonts w:ascii="Tahoma" w:hAnsi="Tahoma" w:cs="Tahoma"/>
      <w:sz w:val="24"/>
      <w:szCs w:val="24"/>
    </w:rPr>
  </w:style>
  <w:style w:type="paragraph" w:customStyle="1" w:styleId="Data1">
    <w:name w:val="_Data1"/>
    <w:basedOn w:val="Normal"/>
    <w:rsid w:val="00D2132F"/>
    <w:pPr>
      <w:jc w:val="center"/>
    </w:pPr>
    <w:rPr>
      <w:rFonts w:ascii="Tahoma" w:hAnsi="Tahoma" w:cs="Tahom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236B5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character" w:customStyle="1" w:styleId="A11">
    <w:name w:val="A11"/>
    <w:uiPriority w:val="99"/>
    <w:rsid w:val="007A6C1B"/>
    <w:rPr>
      <w:strike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279C4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83283D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character" w:customStyle="1" w:styleId="A4">
    <w:name w:val="A4"/>
    <w:uiPriority w:val="99"/>
    <w:rsid w:val="0083283D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B935B6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F076C"/>
    <w:rPr>
      <w:rFonts w:ascii="Segoe UI" w:hAnsi="Segoe UI" w:cs="Segoe UI"/>
      <w:sz w:val="18"/>
      <w:szCs w:val="18"/>
    </w:rPr>
  </w:style>
  <w:style w:type="paragraph" w:customStyle="1" w:styleId="Nome">
    <w:name w:val="_Nome"/>
    <w:basedOn w:val="Normal"/>
    <w:rsid w:val="007008D7"/>
    <w:pPr>
      <w:jc w:val="center"/>
    </w:pPr>
    <w:rPr>
      <w:rFonts w:ascii="Tahoma" w:hAnsi="Tahoma" w:cs="Tahoma"/>
      <w:b/>
      <w:sz w:val="24"/>
      <w:szCs w:val="24"/>
    </w:rPr>
  </w:style>
  <w:style w:type="paragraph" w:customStyle="1" w:styleId="Cargo">
    <w:name w:val="_Cargo"/>
    <w:basedOn w:val="Normal"/>
    <w:rsid w:val="00BB078F"/>
    <w:pPr>
      <w:jc w:val="center"/>
    </w:pPr>
    <w:rPr>
      <w:rFonts w:ascii="Tahoma" w:hAnsi="Tahoma" w:cs="Tahoma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812253ECDB4BBC7E170F4D66571A" ma:contentTypeVersion="11" ma:contentTypeDescription="Create a new document." ma:contentTypeScope="" ma:versionID="29b29b355164b91de5269d20ad9cfab5">
  <xsd:schema xmlns:xsd="http://www.w3.org/2001/XMLSchema" xmlns:xs="http://www.w3.org/2001/XMLSchema" xmlns:p="http://schemas.microsoft.com/office/2006/metadata/properties" xmlns:ns2="da384f1a-26ac-4e64-8d38-1286b0541ed4" xmlns:ns3="043c51d7-1484-4b42-ae56-96b89c2f4c26" targetNamespace="http://schemas.microsoft.com/office/2006/metadata/properties" ma:root="true" ma:fieldsID="0878543bea36570aefb08af0c30e0901" ns2:_="" ns3:_="">
    <xsd:import namespace="da384f1a-26ac-4e64-8d38-1286b0541ed4"/>
    <xsd:import namespace="043c51d7-1484-4b42-ae56-96b89c2f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f1a-26ac-4e64-8d38-1286b0541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d130e2-d8de-4285-9cce-e23c6c017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51d7-1484-4b42-ae56-96b89c2f4c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ad0b8e-c4af-4b58-95d0-eb0c0cf66026}" ma:internalName="TaxCatchAll" ma:showField="CatchAllData" ma:web="043c51d7-1484-4b42-ae56-96b89c2f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4f1a-26ac-4e64-8d38-1286b0541ed4">
      <Terms xmlns="http://schemas.microsoft.com/office/infopath/2007/PartnerControls"/>
    </lcf76f155ced4ddcb4097134ff3c332f>
    <TaxCatchAll xmlns="043c51d7-1484-4b42-ae56-96b89c2f4c2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2AAB-CD44-4B9C-8DD0-793BB1077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06A10-0046-4C06-AE95-6D6B0521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4f1a-26ac-4e64-8d38-1286b0541ed4"/>
    <ds:schemaRef ds:uri="043c51d7-1484-4b42-ae56-96b89c2f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0A1E6-43B3-4C10-9ABA-425580CCF9BA}">
  <ds:schemaRefs>
    <ds:schemaRef ds:uri="http://schemas.microsoft.com/office/2006/metadata/properties"/>
    <ds:schemaRef ds:uri="http://schemas.microsoft.com/office/infopath/2007/PartnerControls"/>
    <ds:schemaRef ds:uri="da384f1a-26ac-4e64-8d38-1286b0541ed4"/>
    <ds:schemaRef ds:uri="043c51d7-1484-4b42-ae56-96b89c2f4c26"/>
  </ds:schemaRefs>
</ds:datastoreItem>
</file>

<file path=customXml/itemProps4.xml><?xml version="1.0" encoding="utf-8"?>
<ds:datastoreItem xmlns:ds="http://schemas.openxmlformats.org/officeDocument/2006/customXml" ds:itemID="{F5888DCD-E393-4A6D-B537-9DD6487B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CLDF</vt:lpstr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CLDF</dc:title>
  <dc:creator>CLDF</dc:creator>
  <cp:lastModifiedBy>User</cp:lastModifiedBy>
  <cp:revision>2</cp:revision>
  <cp:lastPrinted>2015-05-07T11:44:00Z</cp:lastPrinted>
  <dcterms:created xsi:type="dcterms:W3CDTF">2025-04-22T14:06:00Z</dcterms:created>
  <dcterms:modified xsi:type="dcterms:W3CDTF">2025-04-22T14:06:00Z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0x01010008BE812253ECDB4BBC7E170F4D66571A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2025-04-08T18:35:19Z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4e10ab7b-c5b8-45a5-8b77-4e08baca5992</vt:lpwstr>
  </property>
  <property fmtid="{D5CDD505-2E9C-101B-9397-08002B2CF9AE}" pid="8" name="MSIP_Label_defa4170-0d19-0005-0004-bc88714345d2_ActionId">
    <vt:lpwstr>23895d51-6134-4d3c-b70e-515c899df60e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